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ПРОЕКТ</w:t>
      </w:r>
    </w:p>
    <w:p w:rsid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от  «</w:t>
      </w:r>
      <w:proofErr w:type="gramEnd"/>
      <w:r>
        <w:rPr>
          <w:b/>
          <w:color w:val="000000"/>
          <w:sz w:val="24"/>
          <w:szCs w:val="24"/>
        </w:rPr>
        <w:t xml:space="preserve">   »                 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г.                                                                                                        №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с. </w:t>
      </w:r>
      <w:proofErr w:type="spellStart"/>
      <w:r>
        <w:rPr>
          <w:b/>
          <w:color w:val="000000"/>
          <w:sz w:val="24"/>
          <w:szCs w:val="24"/>
        </w:rPr>
        <w:t>Мамоновка</w:t>
      </w:r>
      <w:proofErr w:type="spellEnd"/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P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 xml:space="preserve">Об исполнении бюджета Мамоновского </w:t>
      </w:r>
    </w:p>
    <w:p w:rsidR="00623BD6" w:rsidRP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>сельского поселения Верхнемамонского</w:t>
      </w:r>
    </w:p>
    <w:p w:rsidR="00623BD6" w:rsidRP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>муниципального района Воронежской</w:t>
      </w:r>
    </w:p>
    <w:p w:rsidR="00623BD6" w:rsidRPr="004E6A1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 xml:space="preserve">области за </w:t>
      </w:r>
      <w:r w:rsidRPr="004E6A16">
        <w:rPr>
          <w:b/>
          <w:sz w:val="24"/>
          <w:szCs w:val="24"/>
        </w:rPr>
        <w:t>2024</w:t>
      </w:r>
      <w:r w:rsidRPr="004E6A16">
        <w:rPr>
          <w:b/>
          <w:color w:val="000000"/>
          <w:sz w:val="24"/>
          <w:szCs w:val="24"/>
        </w:rPr>
        <w:t xml:space="preserve"> год</w:t>
      </w:r>
    </w:p>
    <w:p w:rsidR="00623BD6" w:rsidRDefault="00623BD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23BD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соответствии с п.1 ч.1 ст.9, п.2 ч.1 ст.27 Устава Мамоновского сельского поселения Верхнемамонского муниципального района Воронежской области </w:t>
      </w:r>
      <w:r>
        <w:rPr>
          <w:color w:val="000000"/>
          <w:sz w:val="24"/>
          <w:szCs w:val="24"/>
        </w:rPr>
        <w:t>Совет народных депутатов Мамоновского сельского п</w:t>
      </w:r>
      <w:r>
        <w:rPr>
          <w:color w:val="000000"/>
          <w:sz w:val="24"/>
          <w:szCs w:val="24"/>
        </w:rPr>
        <w:t>оселения</w:t>
      </w:r>
    </w:p>
    <w:p w:rsidR="004E6A1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1.Утвердить отчет об исполнении бюджета Мамоновского сельского поселения Верхнемамонского муниципального района Воронежской области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по доходам в сумме </w:t>
      </w:r>
      <w:r>
        <w:rPr>
          <w:sz w:val="24"/>
          <w:szCs w:val="24"/>
        </w:rPr>
        <w:t>10418,9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и по расходам в сумме </w:t>
      </w:r>
      <w:r>
        <w:rPr>
          <w:sz w:val="24"/>
          <w:szCs w:val="24"/>
        </w:rPr>
        <w:t>9768,5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 xml:space="preserve"> с превышением дох</w:t>
      </w:r>
      <w:r>
        <w:rPr>
          <w:color w:val="000000"/>
          <w:sz w:val="24"/>
          <w:szCs w:val="24"/>
        </w:rPr>
        <w:t>од</w:t>
      </w:r>
      <w:r>
        <w:rPr>
          <w:sz w:val="24"/>
          <w:szCs w:val="24"/>
        </w:rPr>
        <w:t>ов над расходами</w:t>
      </w:r>
      <w:r>
        <w:rPr>
          <w:color w:val="000000"/>
          <w:sz w:val="24"/>
          <w:szCs w:val="24"/>
        </w:rPr>
        <w:t xml:space="preserve"> ( </w:t>
      </w:r>
      <w:r>
        <w:rPr>
          <w:sz w:val="24"/>
          <w:szCs w:val="24"/>
        </w:rPr>
        <w:t>про</w:t>
      </w:r>
      <w:r>
        <w:rPr>
          <w:color w:val="000000"/>
          <w:sz w:val="24"/>
          <w:szCs w:val="24"/>
        </w:rPr>
        <w:t xml:space="preserve">фицит бюджета Мамоновского сельского поселения) в сумме </w:t>
      </w:r>
      <w:r>
        <w:rPr>
          <w:sz w:val="24"/>
          <w:szCs w:val="24"/>
        </w:rPr>
        <w:t>650,4</w:t>
      </w:r>
      <w:r>
        <w:rPr>
          <w:color w:val="000000"/>
          <w:sz w:val="24"/>
          <w:szCs w:val="24"/>
        </w:rPr>
        <w:t xml:space="preserve"> тыс. рублей и со следующими показателями: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по поступлению доходов в бюджет поселения по кодам классификации доходов бюджета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</w:t>
      </w:r>
      <w:proofErr w:type="gramStart"/>
      <w:r>
        <w:rPr>
          <w:color w:val="000000"/>
          <w:sz w:val="24"/>
          <w:szCs w:val="24"/>
        </w:rPr>
        <w:t>приложению  №</w:t>
      </w:r>
      <w:proofErr w:type="gramEnd"/>
      <w:r>
        <w:rPr>
          <w:color w:val="000000"/>
          <w:sz w:val="24"/>
          <w:szCs w:val="24"/>
        </w:rPr>
        <w:t xml:space="preserve"> 1 к на</w:t>
      </w:r>
      <w:r>
        <w:rPr>
          <w:color w:val="000000"/>
          <w:sz w:val="24"/>
          <w:szCs w:val="24"/>
        </w:rPr>
        <w:t>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по ведомственной структуре расходов бюджета </w:t>
      </w:r>
      <w:proofErr w:type="gramStart"/>
      <w:r>
        <w:rPr>
          <w:color w:val="000000"/>
          <w:sz w:val="24"/>
          <w:szCs w:val="24"/>
        </w:rPr>
        <w:t>поселения  за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приложению  № 2 к настоящему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- по распределению бюджетных ассигнований по разделам, подразделам, целевым статьям (муниципальным программам Мамон</w:t>
      </w:r>
      <w:r>
        <w:rPr>
          <w:color w:val="000000"/>
          <w:sz w:val="24"/>
          <w:szCs w:val="24"/>
        </w:rPr>
        <w:t xml:space="preserve">овского сельского поселения и </w:t>
      </w:r>
      <w:r>
        <w:rPr>
          <w:sz w:val="24"/>
          <w:szCs w:val="24"/>
        </w:rPr>
        <w:t>не программным</w:t>
      </w:r>
      <w:r>
        <w:rPr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бюджета Мамоновского сельского поселения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</w:t>
      </w:r>
      <w:proofErr w:type="gramStart"/>
      <w:r>
        <w:rPr>
          <w:color w:val="000000"/>
          <w:sz w:val="24"/>
          <w:szCs w:val="24"/>
        </w:rPr>
        <w:t>приложению  №</w:t>
      </w:r>
      <w:proofErr w:type="gramEnd"/>
      <w:r>
        <w:rPr>
          <w:color w:val="000000"/>
          <w:sz w:val="24"/>
          <w:szCs w:val="24"/>
        </w:rPr>
        <w:t xml:space="preserve"> 3 к настоящему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по распределению бюджетных ассиг</w:t>
      </w:r>
      <w:r>
        <w:rPr>
          <w:color w:val="000000"/>
          <w:sz w:val="24"/>
          <w:szCs w:val="24"/>
        </w:rPr>
        <w:t>нований по целевым статьям (</w:t>
      </w:r>
      <w:proofErr w:type="gramStart"/>
      <w:r>
        <w:rPr>
          <w:color w:val="000000"/>
          <w:sz w:val="24"/>
          <w:szCs w:val="24"/>
        </w:rPr>
        <w:t>муниципальным  программам</w:t>
      </w:r>
      <w:proofErr w:type="gramEnd"/>
      <w:r>
        <w:rPr>
          <w:color w:val="000000"/>
          <w:sz w:val="24"/>
          <w:szCs w:val="24"/>
        </w:rPr>
        <w:t xml:space="preserve">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согласно приложению  № 4 к настоящему решению</w:t>
      </w:r>
      <w:r>
        <w:rPr>
          <w:color w:val="000000"/>
          <w:sz w:val="24"/>
          <w:szCs w:val="24"/>
        </w:rPr>
        <w:t>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по источникам финансирования дефицита бюджета поселения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по кодам классификации источников финансирования дефицитов бюджета согласно приложению № 5 к настоящему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по распределению дорожного фонда поселения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приложению № 6 к настоящему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   - по исполнению </w:t>
      </w:r>
      <w:r>
        <w:rPr>
          <w:sz w:val="24"/>
          <w:szCs w:val="24"/>
          <w:highlight w:val="white"/>
        </w:rPr>
        <w:t>программы муниципальных внутренних заимствований Мамоновского сельского поселения за 2024 год согласно приложению 7 к настоящему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по исполнению </w:t>
      </w:r>
      <w:r>
        <w:rPr>
          <w:sz w:val="24"/>
          <w:szCs w:val="24"/>
          <w:highlight w:val="white"/>
        </w:rPr>
        <w:t>программы муниципальных га</w:t>
      </w:r>
      <w:r>
        <w:rPr>
          <w:sz w:val="24"/>
          <w:szCs w:val="24"/>
          <w:highlight w:val="white"/>
        </w:rPr>
        <w:t xml:space="preserve">рантий Мамоновского сельского поселения в валюте Российской Федерации за 2024 год согласно приложению 8 к настоящему </w:t>
      </w:r>
      <w:proofErr w:type="gramStart"/>
      <w:r>
        <w:rPr>
          <w:sz w:val="24"/>
          <w:szCs w:val="24"/>
          <w:highlight w:val="white"/>
        </w:rPr>
        <w:t>решению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proofErr w:type="gramEnd"/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2. Опубликовать настоящее решение в официальном периодическом печатном издании «Информационный бюллетень Мамоновского сельского </w:t>
      </w:r>
      <w:r>
        <w:rPr>
          <w:color w:val="000000"/>
          <w:sz w:val="24"/>
          <w:szCs w:val="24"/>
        </w:rPr>
        <w:t>поселения Верхнемамонского муниципального района Воронежской области».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с момента опубликования.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                                  </w:t>
      </w:r>
      <w:proofErr w:type="spellStart"/>
      <w:r>
        <w:rPr>
          <w:color w:val="000000"/>
          <w:sz w:val="24"/>
          <w:szCs w:val="24"/>
        </w:rPr>
        <w:t>О.Н.Ворфоломеева</w:t>
      </w:r>
      <w:proofErr w:type="spellEnd"/>
      <w:r>
        <w:rPr>
          <w:color w:val="000000"/>
          <w:sz w:val="24"/>
          <w:szCs w:val="24"/>
        </w:rPr>
        <w:t xml:space="preserve">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bookmarkStart w:id="0" w:name="_GoBack"/>
      <w:bookmarkEnd w:id="0"/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Приложение №7   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от .</w:t>
      </w:r>
      <w:proofErr w:type="gramEnd"/>
      <w:r>
        <w:rPr>
          <w:sz w:val="24"/>
          <w:szCs w:val="24"/>
        </w:rPr>
        <w:t xml:space="preserve"> .2025 г. №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623BD6" w:rsidRDefault="004E6A16">
      <w:pPr>
        <w:tabs>
          <w:tab w:val="left" w:pos="276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внутренних муниципальных заимствований Мамоновского сельского поселения за 2024 год</w:t>
      </w:r>
      <w:r>
        <w:rPr>
          <w:color w:val="000000"/>
          <w:sz w:val="24"/>
          <w:szCs w:val="24"/>
        </w:rPr>
        <w:t xml:space="preserve">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тыс. рублей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tbl>
      <w:tblPr>
        <w:tblStyle w:val="affc"/>
        <w:tblW w:w="9015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720"/>
        <w:gridCol w:w="1560"/>
      </w:tblGrid>
      <w:tr w:rsidR="00623BD6">
        <w:trPr>
          <w:cantSplit/>
          <w:trHeight w:val="930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Наименова</w:t>
            </w:r>
            <w:r>
              <w:rPr>
                <w:b/>
                <w:sz w:val="24"/>
                <w:szCs w:val="24"/>
              </w:rPr>
              <w:t>ние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получение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444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 Мамоновского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№8   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от .</w:t>
      </w:r>
      <w:proofErr w:type="gramEnd"/>
      <w:r>
        <w:rPr>
          <w:sz w:val="24"/>
          <w:szCs w:val="24"/>
        </w:rPr>
        <w:t xml:space="preserve"> .2025 г. №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                      Программа</w:t>
      </w:r>
    </w:p>
    <w:p w:rsidR="00623BD6" w:rsidRDefault="004E6A16">
      <w:pPr>
        <w:ind w:left="0"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муниципальных гарантий Мамоновского сельского поселения в валюте Российской Федерации за 2024 год</w:t>
      </w:r>
    </w:p>
    <w:p w:rsidR="00623BD6" w:rsidRDefault="00623BD6">
      <w:pPr>
        <w:ind w:left="0" w:hanging="2"/>
        <w:jc w:val="center"/>
        <w:rPr>
          <w:sz w:val="24"/>
          <w:szCs w:val="24"/>
          <w:highlight w:val="white"/>
        </w:rPr>
      </w:pPr>
    </w:p>
    <w:p w:rsidR="00623BD6" w:rsidRDefault="004E6A16">
      <w:pPr>
        <w:widowControl w:val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Общий объем бюджетных ассигнований, предусмотренных</w:t>
      </w:r>
      <w:r>
        <w:rPr>
          <w:sz w:val="24"/>
          <w:szCs w:val="24"/>
        </w:rPr>
        <w:br/>
        <w:t xml:space="preserve">на исполнение </w:t>
      </w:r>
      <w:r>
        <w:rPr>
          <w:sz w:val="24"/>
          <w:szCs w:val="24"/>
          <w:highlight w:val="white"/>
        </w:rPr>
        <w:t>муниципальных гарантий Мамоновского сельского поселения</w:t>
      </w:r>
      <w:r>
        <w:rPr>
          <w:sz w:val="24"/>
          <w:szCs w:val="24"/>
        </w:rPr>
        <w:br/>
        <w:t>по возможным гарантийным случаям з</w:t>
      </w:r>
      <w:r>
        <w:rPr>
          <w:sz w:val="24"/>
          <w:szCs w:val="24"/>
        </w:rPr>
        <w:t>а 2024 год</w:t>
      </w:r>
    </w:p>
    <w:p w:rsidR="00623BD6" w:rsidRDefault="00623BD6">
      <w:pPr>
        <w:widowControl w:val="0"/>
        <w:ind w:left="0" w:hanging="2"/>
        <w:jc w:val="center"/>
        <w:rPr>
          <w:sz w:val="24"/>
          <w:szCs w:val="24"/>
        </w:rPr>
      </w:pPr>
    </w:p>
    <w:p w:rsidR="00623BD6" w:rsidRDefault="004E6A16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тыс. рублей</w:t>
      </w:r>
    </w:p>
    <w:tbl>
      <w:tblPr>
        <w:tblStyle w:val="affd"/>
        <w:tblW w:w="934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2085"/>
        <w:gridCol w:w="2310"/>
      </w:tblGrid>
      <w:tr w:rsidR="00623BD6">
        <w:trPr>
          <w:cantSplit/>
          <w:tblHeader/>
        </w:trPr>
        <w:tc>
          <w:tcPr>
            <w:tcW w:w="4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>
              <w:rPr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623BD6">
        <w:trPr>
          <w:cantSplit/>
          <w:tblHeader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источников финансирования дефицита бюджета </w:t>
            </w:r>
            <w:r>
              <w:rPr>
                <w:sz w:val="24"/>
                <w:szCs w:val="24"/>
                <w:highlight w:val="white"/>
              </w:rPr>
              <w:t>сельского поселения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3BD6">
        <w:trPr>
          <w:cantSplit/>
          <w:tblHeader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расходов бюджета </w:t>
            </w:r>
            <w:r>
              <w:rPr>
                <w:sz w:val="24"/>
                <w:szCs w:val="24"/>
                <w:highlight w:val="white"/>
              </w:rPr>
              <w:t>сельского поселения</w:t>
            </w:r>
          </w:p>
          <w:p w:rsidR="00623BD6" w:rsidRDefault="00623BD6">
            <w:pPr>
              <w:widowControl w:val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23BD6" w:rsidRDefault="00623BD6">
      <w:pPr>
        <w:spacing w:line="276" w:lineRule="auto"/>
        <w:ind w:left="0" w:hanging="2"/>
        <w:rPr>
          <w:sz w:val="24"/>
          <w:szCs w:val="24"/>
        </w:rPr>
      </w:pPr>
    </w:p>
    <w:p w:rsidR="00623BD6" w:rsidRDefault="00623BD6">
      <w:pPr>
        <w:ind w:left="0" w:hanging="2"/>
        <w:jc w:val="center"/>
        <w:rPr>
          <w:sz w:val="24"/>
          <w:szCs w:val="24"/>
          <w:highlight w:val="white"/>
        </w:rPr>
      </w:pPr>
    </w:p>
    <w:p w:rsidR="00623BD6" w:rsidRDefault="00623BD6">
      <w:pPr>
        <w:ind w:left="0" w:hanging="2"/>
        <w:jc w:val="center"/>
        <w:rPr>
          <w:sz w:val="24"/>
          <w:szCs w:val="24"/>
          <w:highlight w:val="white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  <w:sectPr w:rsidR="00623BD6">
          <w:pgSz w:w="11906" w:h="16838"/>
          <w:pgMar w:top="567" w:right="851" w:bottom="1134" w:left="1701" w:header="397" w:footer="283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</w:t>
      </w:r>
      <w:r>
        <w:rPr>
          <w:color w:val="000000"/>
          <w:sz w:val="24"/>
          <w:szCs w:val="24"/>
        </w:rPr>
        <w:t xml:space="preserve">                     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sectPr w:rsidR="00623BD6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6"/>
    <w:rsid w:val="004E6A16"/>
    <w:rsid w:val="006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7C47"/>
  <w15:docId w15:val="{1C84A13A-EB56-422B-B87C-EFC9B63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240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pPr>
      <w:ind w:left="708"/>
    </w:pPr>
  </w:style>
  <w:style w:type="paragraph" w:styleId="a5">
    <w:name w:val="Balloon Text"/>
    <w:basedOn w:val="a"/>
    <w:rPr>
      <w:sz w:val="2"/>
      <w:szCs w:val="2"/>
    </w:rPr>
  </w:style>
  <w:style w:type="character" w:customStyle="1" w:styleId="a6">
    <w:name w:val="Текст выноски Знак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pPr>
      <w:ind w:firstLine="708"/>
      <w:jc w:val="both"/>
    </w:pPr>
  </w:style>
  <w:style w:type="character" w:customStyle="1" w:styleId="a9">
    <w:name w:val="Основной текст с отступом Знак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</w:style>
  <w:style w:type="character" w:customStyle="1" w:styleId="ac">
    <w:name w:val="Верх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</w:style>
  <w:style w:type="character" w:customStyle="1" w:styleId="ae">
    <w:name w:val="Ниж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Основной текст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нак Знак Знак Знак Знак Знак Знак Знак Знак Знак1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2">
    <w:name w:val="Знак Знак3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0">
    <w:name w:val="Body Text Indent 2"/>
    <w:basedOn w:val="a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3">
    <w:name w:val="Абзац списка1"/>
    <w:basedOn w:val="a"/>
    <w:pPr>
      <w:ind w:left="708"/>
    </w:pPr>
  </w:style>
  <w:style w:type="paragraph" w:customStyle="1" w:styleId="21">
    <w:name w:val="Знак Знак Знак Знак Знак Знак Знак Знак Знак Знак2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4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5">
    <w:name w:val="Стиль1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pPr>
      <w:spacing w:after="240"/>
      <w:jc w:val="center"/>
    </w:pPr>
    <w:rPr>
      <w:b/>
      <w:bCs/>
      <w:sz w:val="28"/>
      <w:szCs w:val="24"/>
    </w:rPr>
  </w:style>
  <w:style w:type="character" w:customStyle="1" w:styleId="af8">
    <w:name w:val="Заголовок Знак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311FlwWST7Y4peTmHm7JewFCEg==">CgMxLjAyCGguZ2pkZ3hzOAByITFRb1ZGaEhISER1b1diT3IwV3dZWFRCaDI3YjV1Qm0yOQ==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3</cp:revision>
  <dcterms:created xsi:type="dcterms:W3CDTF">2019-08-26T11:51:00Z</dcterms:created>
  <dcterms:modified xsi:type="dcterms:W3CDTF">2025-04-02T07:26:00Z</dcterms:modified>
</cp:coreProperties>
</file>