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АДМИНИСТРАЦИЯ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МАМОНОВСКОГО СЕЛЬСКОГО ПОСЕЛЕНИЯ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ВЕРХНЕМАМОНСКОГО МУНИЦИПАЛЬНОГО РАЙОНА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ВОРОНЕЖСКОЙ ОБЛАСТИ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«20» </w:t>
      </w:r>
      <w:r w:rsidDel="00000000" w:rsidR="00000000" w:rsidRPr="00000000">
        <w:rPr>
          <w:b w:val="1"/>
          <w:sz w:val="24"/>
          <w:szCs w:val="24"/>
          <w:rtl w:val="0"/>
        </w:rPr>
        <w:t xml:space="preserve">марта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                                                                                                                  № </w:t>
      </w: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с. Мамоновка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52" w:firstLine="0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внесении изменений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сфера» на 2020-2025 годы»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со статьей 179 Бюджетного кодекса Российской Федерации, постановлением администрации Мамоновского сельского поселения от 17.04.2020 г. № 13 «Об утверждении Порядка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ПОСТАНОВЛЯЕТ: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Внести изменения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сфера» на 2020-2025 годы»: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Муниципальную программу Мамоновского сельского поселения Верхнемамонского муниципального района Воронежской области «Социальная сфера» на 2020-2025 годы изложить в новой редакции согласно приложению к настоящему постановлению.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Контроль за исполнением настоящего постановления оставляю за собой.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Глава Мамоновского сельского поселения                      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О.Н.Ворфоломеева</w:t>
      </w:r>
      <w:r w:rsidDel="00000000" w:rsidR="00000000" w:rsidRPr="00000000">
        <w:br w:type="page"/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Утверждено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постановлением администрации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Мамоновского сельского поселения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sz w:val="24"/>
          <w:szCs w:val="24"/>
          <w:rtl w:val="0"/>
        </w:rPr>
        <w:t xml:space="preserve">20.03.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4"/>
          <w:szCs w:val="24"/>
          <w:rtl w:val="0"/>
        </w:rPr>
        <w:t xml:space="preserve">3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года №</w:t>
      </w:r>
      <w:r w:rsidDel="00000000" w:rsidR="00000000" w:rsidRPr="00000000">
        <w:rPr>
          <w:sz w:val="24"/>
          <w:szCs w:val="24"/>
          <w:rtl w:val="0"/>
        </w:rPr>
        <w:t xml:space="preserve"> 9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муниципальной программы  Мамоновского сельского поселения Верхнемамонского муниципального района Воронежской области</w:t>
      </w:r>
    </w:p>
    <w:tbl>
      <w:tblPr>
        <w:tblStyle w:val="Table1"/>
        <w:tblW w:w="10605.0" w:type="dxa"/>
        <w:jc w:val="left"/>
        <w:tblInd w:w="-601.0" w:type="dxa"/>
        <w:tblLayout w:type="fixed"/>
        <w:tblLook w:val="0000"/>
      </w:tblPr>
      <w:tblGrid>
        <w:gridCol w:w="1860"/>
        <w:gridCol w:w="8745"/>
        <w:tblGridChange w:id="0">
          <w:tblGrid>
            <w:gridCol w:w="1860"/>
            <w:gridCol w:w="8745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муниципальной 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на 2020-2025 годы.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исполнитель муниципальной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Исполнители муниципальной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области,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МКУ «Центр культуры Мамоновского сельского поселения Верхнемамонского муниципального района Воронежской области»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разработчики муниципальной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Подпрограммы муниципальной программы и основные мероприятия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Выделение подпрограмм в данной муниципальной программе не предусмотрено.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мероприятия муниципальной программы: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 «Содействие сохранению и развитию муниципальных учреждений культуры»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 «Совершенствование мероприятий по развитию физической культуры и массового спорта в Мамоновском сельском поселении»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 «Организация обеспечения социальных выплат отдельным категориям граждан»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 муниципальной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многообразной и полноценной культурной жизни населения Мамоновского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 муниципальной 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5" w:right="0" w:hanging="975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библиотечного обслуживания населения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5" w:right="0" w:hanging="975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жителей поселения услугами организаций культуры.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5" w:right="0" w:hanging="975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массовой физической культуры и спорта, пропаганда физической культуры и спорта как важнейшей составляющей здорового образа жизни.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5" w:right="0" w:hanging="975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Социальная поддержка отдельных категорий граждан.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5" w:right="0" w:hanging="975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проведения оплачиваемых общественных работ.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Целевые индикаторы и показатели муниципальной 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жителей сельского поселения посещающих библиотеки;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Доля населения, охваченного мероприятиями в сфере культуры, от общей численности населения;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Доля населения, систематически занимающихся физической культурой и спортом, в общей численности населения.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Доля граждан, получивших материальную помощь, из количества граждан обратившихся за материальной помощью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Снижение коэффициента напряженности на полном рынке труда;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и сроки реализации муниципальной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Сроки реализации:  2020-2025 годы, выделение отдельных этапов реализации программы не предусмотрено.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Объем финансирования муниципальной программы составляет  -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13892,1 тыс. рублей, 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том числе по источникам финансирования: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 федеральный бюджет – 0,0  тыс. рублей.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 областной бюджет –    580,0  тыс. рублей;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 местный бюджет – 13312,1 тыс. рублей;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 внебюджетные  средства – 0,0 тыс. рублей;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том числе по годам реализации муниципальной программы: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 год: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Всего –  2216,3 тыс. рублей, 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том числе по источникам финансирования: 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федеральный бюджет – 0,0 тыс. руб.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областной бюджет –   0,0 тыс. рублей;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местный бюджет –  2216,3  тыс. рублей;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внебюджетные средства – 0,0 тыс. рублей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 год: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Всего – 2658,7 тыс. рублей,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том числе по источникам финансирования: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федеральный бюджет – 0,0 тыс. руб.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областной бюджет –   0,0 тыс. рублей;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местный бюджет –  2658,7 тыс. рублей;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внебюджетные средства – 0,0 тыс. рублей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 год: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Всего –  3254,1 тыс. рублей,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том числе по источникам финансирования: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федеральный бюджет – 0,0 тыс. руб.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областной бюджет –   580,0 тыс. рублей;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местный бюджет – 2674,1 тыс. рублей;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внебюджетные средства – 0,0 тыс. рублей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2023 год: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Всего –2669,5 тыс. рублей,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том числе по источникам финансирования: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- федеральный бюджет – 0,0 тыс. руб.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областной бюджет –   0,0 тыс. рублей;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местный бюджет –2669,5 тыс. рублей;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внебюджетные средства – 0,0 тыс. рублей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 год: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Всего – 1541,2  тыс. рублей,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том числе по источникам финансирования:   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федеральный бюджет – 0,0 тыс. руб.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областной бюджет –   0,0 тыс. рублей;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местный бюджет – 1541,2 тыс. рублей;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внебюджетные средства – 0,0 тыс. рублей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 год: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Всего –  1552,3 тыс.рублей,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том числе по источникам финансирования: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федеральный бюджет – 0,0 тыс. руб.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областной бюджет –   0,0 тыс. рублей;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местный бюджет – 1552,3 тыс. рублей;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внебюджетные средства – 0,0 тыс. рублей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Источником финансирования программы является бюджет Мамоновского сельского поселения с привлечением других источников финансирования.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Ожидаемые конечные результаты реализации муниципальной программы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Увеличение количества жителей сельского поселения посещающих библиотеки на 5% ежегодно;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Увеличение доли населения, охваченного мероприятиями в сфере культуры, от общей численности населения на 1% ежегодно;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Увеличение доли населения, систематически занимающегося физической культурой и спортом, в общей численности населения на 1% ежегодно.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  <w:tab/>
              <w:t xml:space="preserve"> Коэффициента напряженности на полном рынке труда к 2025 году составит 1,37;</w:t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Общая характеристика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сферы реализации муниципальной программы.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Мамоновского сельского поселения Верхнемамонского муниципального района Воронежской области (далее – сельское поселение), постановлением администрации Мамоновского сельского поселения от 17 апреля 2020 года № 31 «О порядке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области».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Мамоновском сельском поселении функционирует МКУ «Центр культуры Мамоновского сельского поселения Верхнемамонского муниципального района Воронежской области». Деятельность учреждения ведется в двух направлениях: библиотечное обслуживание населения и культура.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Библиотечный фонд составляет 12994 экземпляр. В 2018 году посещаемость библиотеки составила 315 чел. В учреждении ведутся различные кружки и занятия. Работники учреждения проводят в среднем 200 мероприятий в год, организуют выставки.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Требуется переход к  новому уровню функционирования отрасли культуры, включая библиотечное, музейное дело,  развитие традиционной народной  культуры.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Реализация такого перехода  предполагает: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качественное изменение подходов к оказанию услуг  в сфере культуры,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улучшения материально-технической базы отрасли,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повышение профессионального уровня работников,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укрепление кадрового потенциала;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-сохранение и восстановление историко-культурного и природного наследия Мамоновского  сельского поселения.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Организацию физкультурно-массовой и спортивной работы в сельском поселении осуществляют 1 учитель физической культуры образовательного учреждения. Функционирует 7 спортивных сооружений, в том числе: 1 спортивный зал в образовательном учреждении, 6 детских и спортивных площадок. Все находятся в муниципальной собственности.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сельском поселении действуют секции по футболу, волейболу и другим видам спорта, общее количество участников 98, в том числе детей 67.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проблемы организации физической культуры и спорта в сельском поселении: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недостаточное финансирование физической культуры и спорта;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материально-техническое обеспечение развития физической культуры и спорта;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дефицит квалифицированных тренерских кадров в сфере физической культуры и спорта.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Мероприятия 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областным законодательством, Программой предусматривается предоставление наименее защищенным слоям населения, дополнительных видов социальной поддержки за счет средств местного бюджета, в частности единовременной материальной помощи.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целью обеспечения государственных гарантий граждан на труд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общественных работ, с целью обеспечения временной занятости граждан, позволяет одновременно решать, как задачи, связанные с жизнеобеспечением территории сельского поселения,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Решение указанных проблем программно-целевым методом будет направлено на достижение стратегических целей развития местного самоуправления в сельском поселении.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Приоритеты муниципальной политики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Приоритеты муниципальной политики в сфере реализации муниципальной программы.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со Стратегией социально-экономического развития Воронежской области на период до 2035 года и Стратегией социально-экономического развития Верхнемамонского муниципального района   до 2035 года определены следующие основные приоритетные направления   в сфере культуры: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укрепление материально-технической базы учреждения культуры;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повышение социального статуса работников культуры (уровень доходов, общественное признание) и  системы подготовки кадров;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сохранности и всеобщей доступности информационных ресурсов:  фондов библиотек.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- пропаганда здорового образа жизни среди жителей сельского поселения;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- расширение возможности для физкультурно-оздоровительных занятий населения сельского поселения;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реализация мер государственной социальной поддержки граждан, установленных законодательством;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сохранения ранее достигнутого уровня социальной поддержки граждан;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ориентация на решение наиболее актуальных проблем в сфере содействия занятости населения, таких как безработица на селе, безработица граждан, испытывающих трудности в поиске работы.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Цели, задачи и показатели (индикаторы) достижения целей и решения задач муниципальной программы.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Целью муниципальной программы является формирование многообразной и полноценной культурной жизни населения Мамоновского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достижения цели предполагается решение следующих задач: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Организация библиотечного обслуживания населения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Обеспечение жителей поселения услугами организаций культуры.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Развитие массовой физической культуры и спорта, пропаганда физической культуры и спорта как важнейшей составляющей здорового образа жизни.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Социальная поддержка отдельных категорий граждан.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  <w:tab/>
        <w:t xml:space="preserve">Организация проведения оплачиваемых общественных работ.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6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Количество жителей сельского поселения посещающих библиотеки.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расчета индикатора необходимо брать количество читателей, посещающих библиотеку, на 1 января года, следующего за отчетным.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6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Доля населения, охваченного мероприятиями в сфере культуры, от общей численности населения;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Показатель рассчитывается по формуле: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Д=К/Ч*100%,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 К – количество жителей, участвовавших в мероприятиях (концертах, выставках, праздниках), Ч – среднегодовая численность населения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6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Доля населения, систематически занимающихся физической культурой и спортом, в общей численности населения.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Показатель рассчитывается по формуле: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Д=К/Ч*100%,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 К – количество жителей, участвовавших в спортивных мероприятиях, а так же посещающих различные спортивные секции, Ч – среднегодовая численность населения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6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Доля граждан, получивших материальную помощь, из количества граждан обратившихся за материальной помощью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Показатель рассчитывается по формуле: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Д=П/О*100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Где П – количество получивших материальную помощь граждан, О – количество обратившихся граждан за материальной помощью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6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Уменьшение коэффициента напряженности на полном рынке труда;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Показатель рассчитывается по формуле: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Кн = Чбмот / Кв, где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Кн – коэффициент напряженности на полном рынке труда, единиц;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Чбмот – численность безработных граждан, рассчитанная по методологии Международной организации труда, чел.;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 – среднемесячное количество вакансий, содержащихся в базе данных службы занятости населения, заявленных работодателями, единиц.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Описания показателей (индикаторов) представлены в приложении 1.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Конечные результаты реализации муниципальной программы.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Основными конечными ожидаемыми результатами реализации программы являются: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Увеличение количества жителей сельского поселения посещающих библиотеки на 5% ежегодно;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Увеличение доли населения, охваченного мероприятиями в сфере культуры, от общей численности населения на 1% ежегодно;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Увеличение доли населения, систематически занимающегося физической культурой и спортом, в общей численности населения на 1% ежегодно.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  <w:tab/>
        <w:t xml:space="preserve">Коэффициент напряженности на полном рынке труда к 2025 году составит 1,37.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8" w:right="0" w:hanging="72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Сроки и этапы реализации муниципальной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Общий срок реализации подпрограммы рассчитан на период с 2020 по 2025 годы (в один этап).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Обоснование выделения подпрограмм и обобщенная характеристика основных мероприятий.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Выделение подпрограмм в данной муниципальной программе не предусмотрено.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мероприятия муниципальной программы: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Основное мероприятие «Содействие сохранению и развитию муниципальных учреждений культуры». В рамках данного мероприятия отражаются расходы на содержание учреждений культуры, библиотеку, материально – техническое обеспечение, проведение культурно – массовых мероприятий.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Основное мероприятие «Совершенствование мероприятий по развитию физической культуры и массового спорта в Мамоновском сельском поселении». В рамках данного мероприятия отражаются расходы на проведение мероприятий физической культуры и спорта.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Основное мероприятие «Организация обеспечения социальных выплат отдельным категориям граждан». В рамках данного мероприятия отражаются расходы на социальные выплаты гражданам, попавшим в трудную жизненную ситуацию.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поселения». В рамках данного мероприятия отражаются расходы на проведение общественных оплачиваемых работ.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Ресурсное обеспечение муниципальной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Общий объем средств местного бюджета на выполнение программных мероприятий на период действия программы составит</w:t>
      </w:r>
      <w:r w:rsidDel="00000000" w:rsidR="00000000" w:rsidRPr="00000000">
        <w:rPr>
          <w:sz w:val="24"/>
          <w:szCs w:val="24"/>
          <w:rtl w:val="0"/>
        </w:rPr>
        <w:t xml:space="preserve"> 13892,1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тыс. рублей.</w:t>
      </w:r>
    </w:p>
    <w:p w:rsidR="00000000" w:rsidDel="00000000" w:rsidP="00000000" w:rsidRDefault="00000000" w:rsidRPr="00000000" w14:paraId="000000E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Расходы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местного бюджета на реализацию муниципальной программы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1418"/>
        <w:gridCol w:w="992"/>
        <w:gridCol w:w="1417"/>
        <w:gridCol w:w="993"/>
        <w:gridCol w:w="1275"/>
        <w:gridCol w:w="1276"/>
        <w:tblGridChange w:id="0">
          <w:tblGrid>
            <w:gridCol w:w="2518"/>
            <w:gridCol w:w="1418"/>
            <w:gridCol w:w="992"/>
            <w:gridCol w:w="1417"/>
            <w:gridCol w:w="993"/>
            <w:gridCol w:w="1275"/>
            <w:gridCol w:w="12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Бюджет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 реализации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</w:t>
            </w:r>
          </w:p>
        </w:tc>
      </w:tr>
      <w:tr>
        <w:trPr>
          <w:cantSplit w:val="0"/>
          <w:trHeight w:val="502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Всего, в том числе: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2216,3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2658,7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3254,1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2669,5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1541,2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1552,3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федеральный бюджет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областной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580,0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местный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2216,3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2658,7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2672,0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2669,5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1541,2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1552,3</w:t>
            </w:r>
          </w:p>
        </w:tc>
      </w:tr>
    </w:tbl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Финансирование мероприятий муниципальной программы предусмотрено за счет средств  бюджетов различных уровней.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Расходы местного  бюджета на реализацию муниципальной программы приведены в приложении 2.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Финансирование мероприятий муниципальной  программы на текущий финансовый год приведено в приложении 4.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рисков реализации муниципальной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описание мер управления рисками реализации муниципальной программы.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реализации программы возможно возникновение следующих рисков: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изменение законодательства Российской Федерации, Воронежской области, муниципальных правовых актов сельского поселения; регулирующего решение поставленных в программе задач;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недостаточное материально-техническое и финансовое обеспечение полномочий органов местного самоуправления;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отсутствие надлежащего кадрового обеспечения для реализации полномочий органов местного самоуправления.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управления рисками предусмотрено проведение в течение всего срока выполнения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данных рисков - риски низкие.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эффективности реализации муниципальной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эффективности реализации муниципальной программы будет осуществляться путем ежегодного сопоставления: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фактических (в сопоставимых условиях) и планируемых значений целевых индикаторов муниципальной программы (целевой параметр – 100%);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06" w:orient="portrait"/>
          <w:pgMar w:bottom="1134" w:top="567" w:left="1276" w:right="850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1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муниципальной программе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Мамоновского сельского поселения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«Социальная сфера» на 2020-2025 годы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Сведения о показателях (индикаторах) муниципальной программы Мамоновского сельского поселения «Социальная сфера» на 2020-2025 годы и их значениях.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3"/>
        <w:gridCol w:w="5154"/>
        <w:gridCol w:w="1257"/>
        <w:gridCol w:w="850"/>
        <w:gridCol w:w="885"/>
        <w:gridCol w:w="855"/>
        <w:gridCol w:w="696"/>
        <w:gridCol w:w="963"/>
        <w:gridCol w:w="993"/>
        <w:gridCol w:w="977"/>
        <w:gridCol w:w="977"/>
        <w:gridCol w:w="993"/>
        <w:tblGridChange w:id="0">
          <w:tblGrid>
            <w:gridCol w:w="753"/>
            <w:gridCol w:w="5154"/>
            <w:gridCol w:w="1257"/>
            <w:gridCol w:w="850"/>
            <w:gridCol w:w="885"/>
            <w:gridCol w:w="855"/>
            <w:gridCol w:w="696"/>
            <w:gridCol w:w="963"/>
            <w:gridCol w:w="993"/>
            <w:gridCol w:w="977"/>
            <w:gridCol w:w="977"/>
            <w:gridCol w:w="993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показателя (индикатора)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Пункт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Федера-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Льного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плана</w:t>
              <w:br w:type="textWrapping"/>
              <w:t xml:space="preserve"> статистических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Ед. изме-рения</w:t>
            </w:r>
          </w:p>
        </w:tc>
        <w:tc>
          <w:tcPr>
            <w:gridSpan w:val="8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Значения показателя (индикатора) по годам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реализации муниципальной программы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(отчет)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1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(отчет)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1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(отчет)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1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(отчет)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1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(отчет)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23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(оценка)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(план)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(план)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МУНИЦИПАЛЬНАЯ ПРОГРАММА  "СОЦИАЛЬНАЯ СФЕРА"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 «Содействие сохранению и развитию муниципальных учреждений культуры»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жителей сельского поселения посещающих библиотеки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Доля населения, охваченного мероприятиями в сфере культуры, от общей численности населения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61,5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1.2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 «Совершенствование мероприятий по развитию физической культуры и массового спорта в Мамоновском сельском поселении»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Доля населения,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3,94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14,08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14,22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1.3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1.4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Уменьшение коэффициента напряженности на полном рынке труда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1.37</w:t>
            </w:r>
          </w:p>
        </w:tc>
      </w:tr>
    </w:tbl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2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муниципальной программе 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Мамоновского сельского поселения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«Социальная сфера» на 2020-2025 годы    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Расходы местного бюджета на реализацию муниципальной программы Мамоновского сельского поселения Верхнемамонского муниципального района  Воронежской области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24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2835"/>
        <w:gridCol w:w="2693"/>
        <w:gridCol w:w="1035"/>
        <w:gridCol w:w="15"/>
        <w:gridCol w:w="1077"/>
        <w:gridCol w:w="1134"/>
        <w:gridCol w:w="992"/>
        <w:gridCol w:w="992"/>
        <w:gridCol w:w="992"/>
        <w:gridCol w:w="957"/>
        <w:tblGridChange w:id="0">
          <w:tblGrid>
            <w:gridCol w:w="2518"/>
            <w:gridCol w:w="2835"/>
            <w:gridCol w:w="2693"/>
            <w:gridCol w:w="1035"/>
            <w:gridCol w:w="15"/>
            <w:gridCol w:w="1077"/>
            <w:gridCol w:w="1134"/>
            <w:gridCol w:w="992"/>
            <w:gridCol w:w="992"/>
            <w:gridCol w:w="992"/>
            <w:gridCol w:w="957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Статус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муниципальной программы, подпрограммы, основного мероприятия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Расходы местного бюджета на реализацию муниципальной программы, тыс.руб.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</w:t>
              <w:br w:type="textWrapping"/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МУНИЦИПАЛЬНАЯ ПРОГРАММА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"Социальная сфера" на 2020-2025 годы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13312,1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2216,3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2658,7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2674,1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2669,5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1541,2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1552,3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том числе по ГРБС: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сельского поселения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13312,1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2216,3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2658,7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2674,1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2669,5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1541,2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1552,3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Содействие сохранению и развитию муниципальных учреждений культуры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13307,3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2216,0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2656,3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2672,0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2669,5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1541,2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1552,3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том числе по ГРБС: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сельского поселения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13307,3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2216,0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2656,3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2672,0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2669,5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1541,2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1552,3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Основное мероприятие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Совершенствование мероприятий по развитию физической культуры и массового спорта в Мамоновском сельском поселении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том числе по ГРБС: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сельского поселения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обеспечения социальных выплат отдельным категориям граждан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том числе по ГРБС: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том числе по ГРБС: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сельского поселения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3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муниципальной программе 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Мамоновском сельского поселения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«Социальная сфера» на 2020-2025 годы 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"Социальная сфера"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2020-2025 годы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786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1985"/>
        <w:gridCol w:w="2693"/>
        <w:gridCol w:w="960"/>
        <w:gridCol w:w="1308"/>
        <w:gridCol w:w="1134"/>
        <w:gridCol w:w="992"/>
        <w:gridCol w:w="992"/>
        <w:gridCol w:w="1134"/>
        <w:gridCol w:w="1070"/>
        <w:tblGridChange w:id="0">
          <w:tblGrid>
            <w:gridCol w:w="2518"/>
            <w:gridCol w:w="1985"/>
            <w:gridCol w:w="2693"/>
            <w:gridCol w:w="960"/>
            <w:gridCol w:w="1308"/>
            <w:gridCol w:w="1134"/>
            <w:gridCol w:w="992"/>
            <w:gridCol w:w="992"/>
            <w:gridCol w:w="1134"/>
            <w:gridCol w:w="107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Статус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Источники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ресурсного 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обеспечения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расходов по годам реализации муниципальной программы, тыс. руб.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</w:t>
              <w:br w:type="textWrapping"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</w:t>
              <w:br w:type="textWrapping"/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7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МУНИЦИПАЛЬНАЯ ПРОГРАММА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"Социальная сфера" на 2020-2025 годы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всего, в том числе: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13892,1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2216,3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2658,7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3254,1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2669,5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1541,2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1552,3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федеральный бюджет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областной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580,0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580,0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местный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13312,1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2216,3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2658,7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2674,1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2669,5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1541,2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1552,3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внебюджетные фонды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юридические лица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физические лица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Содействие сохранению и развитию муниципальных учреждений культуры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всего, в том числе: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13887,3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2216,0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2656,3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3252</w:t>
            </w:r>
          </w:p>
          <w:p w:rsidR="00000000" w:rsidDel="00000000" w:rsidP="00000000" w:rsidRDefault="00000000" w:rsidRPr="00000000" w14:paraId="0000036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2669,5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1541,2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1552,3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федеральный бюджет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областной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580,0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580,0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местный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13307,3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2216,0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2656,3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2672,0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2669,5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1541,2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1552,3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внебюджетные фонды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юридические лица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физические лица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Основное мероприятие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Совершенствование мероприятий по развитию физической культуры и массового спорта в Мамоновском сельском поселении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всего, в том числе: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федеральный бюджет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областной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местный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внебюджетные фонды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юридические лица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физические лица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обеспечения социальных выплат отдельным категориям граждан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всего, в том числе: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федеральный бюджет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областной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местный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внебюджетные фонды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юридические лица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физические лица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Финансовое обеспечение выполнения других расходных обязательств органа местного самоуправления - администрации Мамоновском сельского поселения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всего, в том числе: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федеральный бюджет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областной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местный бюджет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внебюджетные фонды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юридические лица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физические лица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4</w:t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муниципальной программе </w:t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Мамоновского сельского поселения</w:t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«Социальная сфера» на 2020-2025 годы</w:t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реализации муниципальной программы  "Социальная сфера"  на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7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"/>
        <w:gridCol w:w="1810"/>
        <w:gridCol w:w="2268"/>
        <w:gridCol w:w="1559"/>
        <w:gridCol w:w="1559"/>
        <w:gridCol w:w="2977"/>
        <w:gridCol w:w="1785"/>
        <w:gridCol w:w="1978"/>
        <w:tblGridChange w:id="0">
          <w:tblGrid>
            <w:gridCol w:w="850"/>
            <w:gridCol w:w="1810"/>
            <w:gridCol w:w="2268"/>
            <w:gridCol w:w="1559"/>
            <w:gridCol w:w="1559"/>
            <w:gridCol w:w="2977"/>
            <w:gridCol w:w="1785"/>
            <w:gridCol w:w="1978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Статус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 подпрограммы,  основного мероприятия, мероприятия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</w:t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КБК </w:t>
              <w:br w:type="textWrapping"/>
              <w:t xml:space="preserve">(местный</w:t>
              <w:br w:type="textWrapping"/>
              <w:t xml:space="preserve">бюджет)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Расходы, предусмотренные решением представительного органа местного самоуправления о местном бюджете, на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год</w:t>
            </w:r>
          </w:p>
        </w:tc>
      </w:tr>
      <w:tr>
        <w:trPr>
          <w:cantSplit w:val="0"/>
          <w:trHeight w:val="184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начала реализации</w:t>
              <w:br w:type="textWrapping"/>
              <w:t xml:space="preserve">мероприятия в очередном финансовом году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окончания реализации</w:t>
              <w:br w:type="textWrapping"/>
              <w:t xml:space="preserve">мероприятия</w:t>
              <w:br w:type="textWrapping"/>
              <w:t xml:space="preserve">в очередном финансовом году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МУНИЦИПАЛЬНАЯ ПРОГРАММА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"Социальная сфера" на 2020-2025 годы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01.01.202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31.12.202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4">
            <w:pPr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2669,5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Содействие сохранению и развитию муниципальных учреждений культуры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01.01.2023г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31.12.2023г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многообразной и полноценной культурной жизни населения Мамоновского сельского поселения;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91408011100190590000</w:t>
            </w:r>
          </w:p>
          <w:p w:rsidR="00000000" w:rsidDel="00000000" w:rsidP="00000000" w:rsidRDefault="00000000" w:rsidRPr="00000000" w14:paraId="000004E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91408011100178490000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E">
            <w:pPr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2669,5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Основное мероприятие</w:t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Совершенствование мероприятий по развитию физической культуры и массового спорта в Мамоновском сельском поселении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01.01.2023г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31.12.2023г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создание условий, обеспечивающих возможность гражданам систематически заниматься физической культурой и спортом;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91411011100290410244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обеспечения социальных выплат отдельным категориям граждан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01.01.2023г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31.12.2023г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91410031100390490321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мероприятие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01.01.2023г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31.12.2023г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91404121100498430244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906" w:w="16838" w:orient="landscape"/>
          <w:pgMar w:bottom="850" w:top="1276" w:left="1134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701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ntique Oliv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" w:cs="Noto Sans" w:eastAsia="Noto Sans" w:hAnsi="Noto Sans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b w:val="1"/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9.9999999999986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312" w:hanging="2159.9999999999973"/>
      </w:pPr>
      <w:rPr>
        <w:b w:val="0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1211" w:hanging="360"/>
      </w:pPr>
      <w:rPr>
        <w:rFonts w:ascii="Antique Olive" w:cs="Antique Olive" w:eastAsia="Antique Olive" w:hAnsi="Antique Oliv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429" w:hanging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1515" w:hanging="9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nt5">
    <w:name w:val="font5"/>
    <w:basedOn w:val="Обычный"/>
    <w:next w:val="font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xl67">
    <w:name w:val="xl67"/>
    <w:basedOn w:val="Обычный"/>
    <w:next w:val="xl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68">
    <w:name w:val="xl68"/>
    <w:basedOn w:val="Обычный"/>
    <w:next w:val="xl6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69">
    <w:name w:val="xl69"/>
    <w:basedOn w:val="Обычный"/>
    <w:next w:val="xl6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0">
    <w:name w:val="xl70"/>
    <w:basedOn w:val="Обычный"/>
    <w:next w:val="xl7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1">
    <w:name w:val="xl71"/>
    <w:basedOn w:val="Обычный"/>
    <w:next w:val="xl7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2">
    <w:name w:val="xl72"/>
    <w:basedOn w:val="Обычный"/>
    <w:next w:val="xl7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3">
    <w:name w:val="xl73"/>
    <w:basedOn w:val="Обычный"/>
    <w:next w:val="xl73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4">
    <w:name w:val="xl74"/>
    <w:basedOn w:val="Обычный"/>
    <w:next w:val="xl7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5">
    <w:name w:val="xl75"/>
    <w:basedOn w:val="Обычный"/>
    <w:next w:val="xl7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6">
    <w:name w:val="xl76"/>
    <w:basedOn w:val="Обычный"/>
    <w:next w:val="xl7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7">
    <w:name w:val="xl77"/>
    <w:basedOn w:val="Обычный"/>
    <w:next w:val="xl7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8">
    <w:name w:val="xl78"/>
    <w:basedOn w:val="Обычный"/>
    <w:next w:val="xl7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79">
    <w:name w:val="xl79"/>
    <w:basedOn w:val="Обычный"/>
    <w:next w:val="xl7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0">
    <w:name w:val="xl80"/>
    <w:basedOn w:val="Обычный"/>
    <w:next w:val="xl80"/>
    <w:autoRedefine w:val="0"/>
    <w:hidden w:val="0"/>
    <w:qFormat w:val="0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1">
    <w:name w:val="xl81"/>
    <w:basedOn w:val="Обычный"/>
    <w:next w:val="xl8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2">
    <w:name w:val="xl82"/>
    <w:basedOn w:val="Обычный"/>
    <w:next w:val="xl8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3">
    <w:name w:val="xl83"/>
    <w:basedOn w:val="Обычный"/>
    <w:next w:val="xl8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4">
    <w:name w:val="xl84"/>
    <w:basedOn w:val="Обычный"/>
    <w:next w:val="xl8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5">
    <w:name w:val="xl85"/>
    <w:basedOn w:val="Обычный"/>
    <w:next w:val="xl8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6">
    <w:name w:val="xl86"/>
    <w:basedOn w:val="Обычный"/>
    <w:next w:val="xl86"/>
    <w:autoRedefine w:val="0"/>
    <w:hidden w:val="0"/>
    <w:qFormat w:val="0"/>
    <w:pPr>
      <w:pBdr>
        <w:top w:color="auto" w:space="0" w:sz="4" w:val="single"/>
        <w:left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7">
    <w:name w:val="xl87"/>
    <w:basedOn w:val="Обычный"/>
    <w:next w:val="xl8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8">
    <w:name w:val="xl88"/>
    <w:basedOn w:val="Обычный"/>
    <w:next w:val="xl8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89">
    <w:name w:val="xl89"/>
    <w:basedOn w:val="Обычный"/>
    <w:next w:val="xl89"/>
    <w:autoRedefine w:val="0"/>
    <w:hidden w:val="0"/>
    <w:qFormat w:val="0"/>
    <w:pPr>
      <w:pBdr>
        <w:left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90">
    <w:name w:val="xl90"/>
    <w:basedOn w:val="Обычный"/>
    <w:next w:val="xl90"/>
    <w:autoRedefine w:val="0"/>
    <w:hidden w:val="0"/>
    <w:qFormat w:val="0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91">
    <w:name w:val="xl91"/>
    <w:basedOn w:val="Обычный"/>
    <w:next w:val="xl9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92">
    <w:name w:val="xl92"/>
    <w:basedOn w:val="Обычный"/>
    <w:next w:val="xl9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93">
    <w:name w:val="xl93"/>
    <w:basedOn w:val="Обычный"/>
    <w:next w:val="xl93"/>
    <w:autoRedefine w:val="0"/>
    <w:hidden w:val="0"/>
    <w:qFormat w:val="0"/>
    <w:pPr>
      <w:pBdr>
        <w:left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94">
    <w:name w:val="xl94"/>
    <w:basedOn w:val="Обычный"/>
    <w:next w:val="xl94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95">
    <w:name w:val="xl95"/>
    <w:basedOn w:val="Обычный"/>
    <w:next w:val="xl9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xl96">
    <w:name w:val="xl96"/>
    <w:basedOn w:val="Обычный"/>
    <w:next w:val="xl9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xl97">
    <w:name w:val="xl97"/>
    <w:basedOn w:val="Обычный"/>
    <w:next w:val="xl9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98">
    <w:name w:val="xl98"/>
    <w:basedOn w:val="Обычный"/>
    <w:next w:val="xl98"/>
    <w:autoRedefine w:val="0"/>
    <w:hidden w:val="0"/>
    <w:qFormat w:val="0"/>
    <w:pPr>
      <w:pBdr>
        <w:top w:color="auto" w:space="0" w:sz="4" w:val="single"/>
        <w:left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99">
    <w:name w:val="xl99"/>
    <w:basedOn w:val="Обычный"/>
    <w:next w:val="xl9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00">
    <w:name w:val="xl100"/>
    <w:basedOn w:val="Обычный"/>
    <w:next w:val="xl10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01">
    <w:name w:val="xl101"/>
    <w:basedOn w:val="Обычный"/>
    <w:next w:val="xl10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02">
    <w:name w:val="xl102"/>
    <w:basedOn w:val="Обычный"/>
    <w:next w:val="xl10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03">
    <w:name w:val="xl103"/>
    <w:basedOn w:val="Обычный"/>
    <w:next w:val="xl10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xl104">
    <w:name w:val="xl104"/>
    <w:basedOn w:val="Обычный"/>
    <w:next w:val="xl10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05">
    <w:name w:val="xl105"/>
    <w:basedOn w:val="Обычный"/>
    <w:next w:val="xl105"/>
    <w:autoRedefine w:val="0"/>
    <w:hidden w:val="0"/>
    <w:qFormat w:val="0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06">
    <w:name w:val="xl106"/>
    <w:basedOn w:val="Обычный"/>
    <w:next w:val="xl106"/>
    <w:autoRedefine w:val="0"/>
    <w:hidden w:val="0"/>
    <w:qFormat w:val="0"/>
    <w:pPr>
      <w:pBdr>
        <w:top w:color="auto" w:space="0" w:sz="8" w:val="single"/>
        <w:bottom w:color="auto" w:space="0" w:sz="8" w:val="single"/>
        <w:right w:color="auto" w:space="0" w:sz="8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07">
    <w:name w:val="xl107"/>
    <w:basedOn w:val="Обычный"/>
    <w:next w:val="xl107"/>
    <w:autoRedefine w:val="0"/>
    <w:hidden w:val="0"/>
    <w:qFormat w:val="0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08">
    <w:name w:val="xl108"/>
    <w:basedOn w:val="Обычный"/>
    <w:next w:val="xl108"/>
    <w:autoRedefine w:val="0"/>
    <w:hidden w:val="0"/>
    <w:qFormat w:val="0"/>
    <w:pPr>
      <w:pBdr>
        <w:left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09">
    <w:name w:val="xl109"/>
    <w:basedOn w:val="Обычный"/>
    <w:next w:val="xl109"/>
    <w:autoRedefine w:val="0"/>
    <w:hidden w:val="0"/>
    <w:qFormat w:val="0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10">
    <w:name w:val="xl110"/>
    <w:basedOn w:val="Обычный"/>
    <w:next w:val="xl110"/>
    <w:autoRedefine w:val="0"/>
    <w:hidden w:val="0"/>
    <w:qFormat w:val="0"/>
    <w:pPr>
      <w:pBdr>
        <w:top w:color="auto" w:space="0" w:sz="4" w:val="single"/>
        <w:left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11">
    <w:name w:val="xl111"/>
    <w:basedOn w:val="Обычный"/>
    <w:next w:val="xl111"/>
    <w:autoRedefine w:val="0"/>
    <w:hidden w:val="0"/>
    <w:qFormat w:val="0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12">
    <w:name w:val="xl112"/>
    <w:basedOn w:val="Обычный"/>
    <w:next w:val="xl112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13">
    <w:name w:val="xl113"/>
    <w:basedOn w:val="Обычный"/>
    <w:next w:val="xl11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14">
    <w:name w:val="xl114"/>
    <w:basedOn w:val="Обычный"/>
    <w:next w:val="xl11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15">
    <w:name w:val="xl115"/>
    <w:basedOn w:val="Обычный"/>
    <w:next w:val="xl11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16">
    <w:name w:val="xl116"/>
    <w:basedOn w:val="Обычный"/>
    <w:next w:val="xl11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17">
    <w:name w:val="xl117"/>
    <w:basedOn w:val="Обычный"/>
    <w:next w:val="xl117"/>
    <w:autoRedefine w:val="0"/>
    <w:hidden w:val="0"/>
    <w:qFormat w:val="0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18">
    <w:name w:val="xl118"/>
    <w:basedOn w:val="Обычный"/>
    <w:next w:val="xl11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text1">
    <w:name w:val="text1"/>
    <w:next w:val="tex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Знак1">
    <w:name w:val="Знак1"/>
    <w:basedOn w:val="Обычный"/>
    <w:next w:val="Знак1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0" w:line="240" w:lineRule="auto"/>
      <w:ind w:left="708"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ConsPlusCell">
    <w:name w:val="ConsPlusCell"/>
    <w:next w:val="ConsPlusCel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styleId="БезинтервалаЗнак">
    <w:name w:val="Без интервала Знак"/>
    <w:next w:val="БезинтервалаЗнак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numbering" w:styleId="Нетсписка1">
    <w:name w:val="Нет списка1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xl119">
    <w:name w:val="xl119"/>
    <w:basedOn w:val="Обычный"/>
    <w:next w:val="xl11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xl120">
    <w:name w:val="xl120"/>
    <w:basedOn w:val="Обычный"/>
    <w:next w:val="xl12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Сеткатаблицы1">
    <w:name w:val="Сетка таблицы1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nsPlusNonformat">
    <w:name w:val="ConsPlusNonformat"/>
    <w:next w:val="ConsPlusNonforma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ConsPlusTitle">
    <w:name w:val="ConsPlusTitle"/>
    <w:next w:val="ConsPlusTitle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ConsNonformat">
    <w:name w:val="ConsNonformat"/>
    <w:next w:val="ConsNonforma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right="19772" w:leftChars="-1" w:rightChars="0" w:firstLineChars="-1"/>
      <w:textDirection w:val="btLr"/>
      <w:textAlignment w:val="top"/>
      <w:outlineLvl w:val="0"/>
    </w:pPr>
    <w:rPr>
      <w:rFonts w:ascii="Courier New" w:cs="Courier New" w:eastAsia="SimSun" w:hAnsi="Courier New"/>
      <w:w w:val="100"/>
      <w:position w:val="-1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IKfLkImt8YOd7IyRMFLPhMIqgA==">AMUW2mUC0TCtJW/nQJ5yv9CBl9Rh+ljHijiSQ9l6fPCMl4apiTcdlGULuqQWm0IzvdOdkMzFE4BNhF1LQYcKsWt55WKEyHkkcNYlWAwrss99wr8svM4PUjQ=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2019-10-18T07:42:00Z</dcterms:created>
  <dc:creator>Администрация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