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ПРОЕКТ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АДМИНИСТРАЦИЯ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МАМОНОВСКОГО СЕЛЬСКОГО ПОСЕЛЕНИЯ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ВЕРХНЕМАМОНСКОГО МУНИЦИПАЛЬНОГО РАЙОНА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ВОРОНЕЖСКОЙ ОБЛАСТИ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«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                                                                                            №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с. Мамоновка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52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внесении изменений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2020-2025 годы»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со статьей 179 Бюджетного кодекса Российской Федерации, постановлением администрации Мамоновского сельского поселения от 17.04.2020 г. № 13 «Об утверждении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ПОСТАНОВЛЯЕТ: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Внести изменения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2020-2025 годы»: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Муниципальную программу Мамоновского сельского поселения Верхнемамонского муниципального района Воронежской области «Социальная сфера» на 2020-2025 годы изложить в новой редакции согласно приложению к настоящему постановлению.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Контроль за исполнением настоящего постановления оставляю за собой.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Глава Мамоновского сельского поселения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О.Н.Ворфоломеева</w:t>
      </w: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Утверждено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постановлением администрации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Мамоновского сельского поселения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года №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муниципальной программы  Мамоновского сельского поселения Верхнемамонского муниципального района Воронежской области</w:t>
      </w:r>
    </w:p>
    <w:tbl>
      <w:tblPr>
        <w:tblStyle w:val="Table1"/>
        <w:tblW w:w="10605.0" w:type="dxa"/>
        <w:jc w:val="left"/>
        <w:tblInd w:w="-601.0" w:type="dxa"/>
        <w:tblLayout w:type="fixed"/>
        <w:tblLook w:val="0000"/>
      </w:tblPr>
      <w:tblGrid>
        <w:gridCol w:w="1860"/>
        <w:gridCol w:w="8745"/>
        <w:tblGridChange w:id="0">
          <w:tblGrid>
            <w:gridCol w:w="1860"/>
            <w:gridCol w:w="8745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муниципальной 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на 2020-2025 годы.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исполнитель муниципальной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Исполнители муниципальной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области,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МКУ «Центр культуры Мамоновского сельского поселения Верхнемамонского муниципального района Воронежской области»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разработчики муниципальной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Подпрограммы муниципальной программы и основные мероприятия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Выделение подпрограмм в данной муниципальной программе не предусмотрено.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мероприятия муниципальной программы: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 «Содействие сохранению и развитию муниципальных учреждений культуры»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 «Организация обеспечения социальных выплат отдельным категориям граждан»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 муниципальной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многообразной и полноценной культурной жизни населения Мамоновского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муниципальной 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5" w:right="0" w:hanging="975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библиотечного обслуживания населения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5" w:right="0" w:hanging="975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жителей поселения услугами организаций культуры.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5" w:right="0" w:hanging="975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5" w:right="0" w:hanging="975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Социальная поддержка отдельных категорий граждан.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5" w:right="0" w:hanging="975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проведения оплачиваемых общественных работ.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Целевые индикаторы и показатели муниципальной 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жителей сельского поселения посещающих библиотеки;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Доля населения, охваченного мероприятиями в сфере культуры, от общей численности населения;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Доля населения, систематически занимающихся физической культурой и спортом, в общей численности населения.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Доля граждан, получивших материальную помощь, из количества граждан обратившихся за материальной помощью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Снижение коэффициента напряженности на полном рынке труда;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и сроки реализации муниципальной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Сроки реализации:  2020-2025 годы, выделение отдельных этапов реализации программы не предусмотрено.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Объем финансирования муниципальной программы составляет  -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13892,1 тыс. рублей, 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источникам финансирования: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 федеральный бюджет – 0,0  тыс. рублей.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 областной бюджет –    580,0  тыс. рублей;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 местный бюджет – 13312,1 тыс. рублей;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 внебюджетные  средства – 0,0 тыс. рублей;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годам реализации муниципальной программы: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2020 год: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 –  2216,3 тыс. рублей, 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источникам финансирования: 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федеральный бюджет – 0,0 тыс. руб.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областной бюджет –   0,0 тыс. рублей;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местный бюджет –  2216,3  тыс. рублей;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внебюджетные средства – 0,0 тыс. рублей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2021 год: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 – 2658,7 тыс. рублей,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источникам финансирования: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федеральный бюджет – 0,0 тыс. руб.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областной бюджет –   0,0 тыс. рублей;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местный бюджет –  2658,7 тыс. рублей;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внебюджетные средства – 0,0 тыс. рублей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2022 год: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 –  3254,1 тыс. рублей,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источникам финансирования: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федеральный бюджет – 0,0 тыс. руб.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областной бюджет –   580,0 тыс. рублей;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местный бюджет – 2674,1 тыс. рублей;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внебюджетные средства – 0,0 тыс. рублей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2023 год: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 –2669,5 тыс. рублей,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источникам финансирования: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- федеральный бюджет – 0,0 тыс. руб.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областной бюджет –   0,0 тыс. рублей;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местный бюджет –2669,5 тыс. рублей;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внебюджетные средства – 0,0 тыс. рублей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2024 год: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 – 1541,2  тыс. рублей,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источникам финансирования:   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федеральный бюджет – 0,0 тыс. руб.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областной бюджет –   0,0 тыс. рублей;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местный бюджет – 1541,2 тыс. рублей;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внебюджетные средства – 0,0 тыс. рублей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2025 год: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 –  1552,3 тыс.рублей,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источникам финансирования: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федеральный бюджет – 0,0 тыс. руб.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областной бюджет –   0,0 тыс. рублей;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местный бюджет – 1552,3 тыс. рублей;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внебюджетные средства – 0,0 тыс. рублей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Источником финансирования программы является бюджет Мамоновского сельского поселения с привлечением других источников финансирования.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Ожидаемые конечные результаты реализации муниципальной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Увеличение количества жителей сельского поселения посещающих библиотеки на 5% ежегодно;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Увеличение доли населения, охваченного мероприятиями в сфере культуры, от общей численности населения на 1% ежегодно;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Увеличение доли населения, систематически занимающегося физической культурой и спортом, в общей численности населения на 1% ежегодно.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 Коэффициента напряженности на полном рынке труда к 2025 году составит 1,37;</w:t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Общая характеристика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сферы реализации муниципальной программы.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Мамоновского сельского поселения Верхнемамонского муниципального района Воронежской области (далее – сельское поселение), постановлением администрации Мамоновского сельского поселения от 17 апреля 2020 года № 31 «О порядке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Мамоновском сельском поселении функционирует МКУ «Центр культуры Мамоновского сельского поселения Верхнемамонского муниципального района Воронежской области». Деятельность учреждения ведется в двух направлениях: библиотечное обслуживание населения и культура.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Библиотечный фонд составляет 12994 экземпляр. В 2018 году посещаемость библиотеки составила 315 чел. В учреждении ведутся различные кружки и занятия. Работники учреждения проводят в среднем 200 мероприятий в год, организуют выставки.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Требуется переход к  новому уровню функционирования отрасли культуры, включая библиотечное, музейное дело,  развитие традиционной народной  культуры.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Реализация такого перехода  предполагает: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качественное изменение подходов к оказанию услуг  в сфере культуры,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улучшения материально-технической базы отрасли,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повышение профессионального уровня работников,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укрепление кадрового потенциала;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-сохранение и восстановление историко-культурного и природного наследия Мамоновского  сельского поселения.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Организацию физкультурно-массовой и спортивной работы в сельском поселении осуществляют 1 учитель физической культуры образовательного учреждения. Функционирует 7 спортивных сооружений, в том числе: 1 спортивный зал в образовательном учреждении, 6 детских и спортивных площадок. Все находятся в муниципальной собственности.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сельском поселении действуют секции по футболу, волейболу и другим видам спорта, общее количество участников 98, в том числе детей 67.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проблемы организации физической культуры и спорта в сельском поселении: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недостаточное финансирование физической культуры и спорта;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материально-техническое обеспечение развития физической культуры и спорта;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дефицит квалифицированных тренерских кадров в сфере физической культуры и спорта.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Мероприятия 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областным законодательством, Программой предусматривается предоставление наименее защищенным слоям населения, дополнительных видов социальной поддержки за счет средств местного бюджета, в частности единовременной материальной помощи.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Приоритеты муниципальной политики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Приоритеты муниципальной политики в сфере реализации муниципальной программы.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 района   до 2035 года определены следующие основные приоритетные направления   в сфере культуры: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укрепление материально-технической базы учреждения культуры;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повышение социального статуса работников культуры (уровень доходов, общественное признание) и  системы подготовки кадров;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сохранности и всеобщей доступности информационных ресурсов:  фондов библиотек.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 пропаганда здорового образа жизни среди жителей сельского поселения;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реализация мер государственной социальной поддержки граждан, установленных законодательством;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сохранения ранее достигнутого уровня социальной поддержки граждан;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Цели, задачи и показатели (индикаторы) достижения целей и решения задач муниципальной программы.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Целью муниципальной программы является формирование многообразной и полноценной культурной жизни населения Мамоновского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достижения цели предполагается решение следующих задач: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Организация библиотечного обслуживания населения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Обеспечение жителей поселения услугами организаций культуры.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Развитие массовой физической культуры и спорта, пропаганда физической культуры и спорта как важнейшей составляющей здорового образа жизни.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Социальная поддержка отдельных категорий граждан.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Организация проведения оплачиваемых общественных работ.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6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жителей сельского поселения посещающих библиотеки.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расчета индикатора необходимо брать количество читателей, посещающих библиотеку, на 1 января года, следующего за отчетным.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6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Доля населения, охваченного мероприятиями в сфере культуры, от общей численности населения;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Показатель рассчитывается по формуле: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Д=К/Ч*100%,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 К – количество жителей, участвовавших в мероприятиях (концертах, выставках, праздниках), Ч – среднегодовая численность населения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6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Доля населения, систематически занимающихся физической культурой и спортом, в общей численности населения.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Показатель рассчитывается по формуле: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Д=К/Ч*100%,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 К – количество жителей, участвовавших в спортивных мероприятиях, а так же посещающих различные спортивные секции, Ч – среднегодовая численность населения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6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Доля граждан, получивших материальную помощь, из количества граждан обратившихся за материальной помощью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Показатель рассчитывается по формуле: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Д=П/О*100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 П – количество получивших материальную помощь граждан, О – количество обратившихся граждан за материальной помощью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6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Уменьшение коэффициента напряженности на полном рынке труда;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Показатель рассчитывается по формуле: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Кн = Чбмот / Кв, где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Кн – коэффициент напряженности на полном рынке труда, единиц;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Чбмот – численность безработных граждан, рассчитанная по методологии Международной организации труда, чел.;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 – среднемесячное количество вакансий, содержащихся в базе данных службы занятости населения, заявленных работодателями, единиц.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Описания показателей (индикаторов) представлены в приложении 1.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Конечные результаты реализации муниципальной программы.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Основными конечными ожидаемыми результатами реализации программы являются: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Увеличение количества жителей сельского поселения посещающих библиотеки на 5% ежегодно;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Увеличение доли населения, охваченного мероприятиями в сфере культуры, от общей численности населения на 1% ежегодно;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Увеличение доли населения, систематически занимающегося физической культурой и спортом, в общей численности населения на 1% ежегодно.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Коэффициент напряженности на полном рынке труда к 2025 году составит 1,37.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8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Сроки и этапы реализации муниципальной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Общий срок реализации подпрограммы рассчитан на период с 2020 по 2025 годы (в один этап).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Обоснование выделения подпрограмм и обобщенная характеристика основных мероприятий.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Выделение подпрограмм в данной муниципальной программе не предусмотрено.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мероприятия муниципальной программы: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техническое обеспечение, проведение культурно – массовых мероприятий.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Основное мероприятие «Совершенствование мероприятий по развитию физической культуры и массового спорта в Мамоновском сельском поселении». В рамках данного мероприятия отражаются расходы на проведение мероприятий физической культуры и спорта.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жизненную ситуацию.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поселения». В рамках данного мероприятия отражаются расходы на проведение общественных оплачиваемых работ.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Ресурсное обеспечение муниципальной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Общий объем средств местного бюджета на выполнение программных мероприятий на период действия программы составит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13892,1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тыс. рублей.</w:t>
      </w:r>
    </w:p>
    <w:p w:rsidR="00000000" w:rsidDel="00000000" w:rsidP="00000000" w:rsidRDefault="00000000" w:rsidRPr="00000000" w14:paraId="000000E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Расходы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местного бюджета на реализацию муниципальной программы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1418"/>
        <w:gridCol w:w="992"/>
        <w:gridCol w:w="1417"/>
        <w:gridCol w:w="993"/>
        <w:gridCol w:w="1275"/>
        <w:gridCol w:w="1276"/>
        <w:tblGridChange w:id="0">
          <w:tblGrid>
            <w:gridCol w:w="2518"/>
            <w:gridCol w:w="1418"/>
            <w:gridCol w:w="992"/>
            <w:gridCol w:w="1417"/>
            <w:gridCol w:w="993"/>
            <w:gridCol w:w="1275"/>
            <w:gridCol w:w="12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Бюджет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 реализации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</w:r>
          </w:p>
        </w:tc>
      </w:tr>
      <w:tr>
        <w:trPr>
          <w:cantSplit w:val="0"/>
          <w:trHeight w:val="502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Всего, в том числе: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2216,3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2658,7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3254,1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2669,5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1541,2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1552,3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федеральный бюджет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областной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580,0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местный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2216,3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2658,7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2672,0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2669,5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1541,2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1552,3</w:t>
            </w:r>
          </w:p>
        </w:tc>
      </w:tr>
    </w:tbl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Финансирование мероприятий муниципальной программы предусмотрено за счет средств  бюджетов различных уровней.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Расходы местного  бюджета на реализацию муниципальной программы приведены в приложении 2.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Финансирование мероприятий муниципальной  программы на текущий финансовый год приведено в приложении 4.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рисков реализации муниципальной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описание мер управления рисками реализации муниципальной программы.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реализации программы возможно возникновение следующих рисков: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недостаточное материально-техническое и финансовое обеспечение полномочий органов местного самоуправления;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отсутствие надлежащего кадрового обеспечения для реализации полномочий органов местного самоуправления.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данных рисков - риски низкие.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эффективности реализации муниципальной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эффективности реализации муниципальной программы будет осуществляться путем ежегодного сопоставления: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фактических (в сопоставимых условиях) и планируемых значений целевых индикаторов муниципальной программы (целевой параметр – 100%);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1134" w:top="567" w:left="1276" w:right="85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1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муниципальной программе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Мамоновского сельского поселения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«Социальная сфера» на 2020-2025 годы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 показателях (индикаторах) муниципальной программы Мамоновского сельского поселения «Социальная сфера» на 2020-2025 годы и их значениях.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3"/>
        <w:gridCol w:w="5154"/>
        <w:gridCol w:w="1257"/>
        <w:gridCol w:w="850"/>
        <w:gridCol w:w="885"/>
        <w:gridCol w:w="855"/>
        <w:gridCol w:w="696"/>
        <w:gridCol w:w="963"/>
        <w:gridCol w:w="993"/>
        <w:gridCol w:w="977"/>
        <w:gridCol w:w="977"/>
        <w:gridCol w:w="993"/>
        <w:tblGridChange w:id="0">
          <w:tblGrid>
            <w:gridCol w:w="753"/>
            <w:gridCol w:w="5154"/>
            <w:gridCol w:w="1257"/>
            <w:gridCol w:w="850"/>
            <w:gridCol w:w="885"/>
            <w:gridCol w:w="855"/>
            <w:gridCol w:w="696"/>
            <w:gridCol w:w="963"/>
            <w:gridCol w:w="993"/>
            <w:gridCol w:w="977"/>
            <w:gridCol w:w="977"/>
            <w:gridCol w:w="993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показателя (индикатора)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Пункт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Федера-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Льного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плана</w:t>
              <w:br w:type="textWrapping"/>
              <w:t xml:space="preserve"> статистических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Ед. изме-рения</w:t>
            </w:r>
          </w:p>
        </w:tc>
        <w:tc>
          <w:tcPr>
            <w:gridSpan w:val="8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Значения показателя (индикатора) по годам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реализации муниципальной программы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МУНИЦИПАЛЬНАЯ ПРОГРАММА  "СОЦИАЛЬНАЯ СФЕРА"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 «Содействие сохранению и развитию муниципальных учреждений культуры»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жителей сельского поселения посещающих библиотеки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Доля населения, охваченного мероприятиями в сфере культуры, от общей численности населения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58,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38,5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61,5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1.2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16,8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1.3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1.4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Уменьшение коэффициента напряженности на полном рынке труда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1.37</w:t>
            </w:r>
          </w:p>
        </w:tc>
      </w:tr>
    </w:tbl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2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муниципальной программе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Мамоновского сельского поселения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«Социальная сфера» на 2020-2025 годы    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Расходы местного бюджета на реализацию муниципальной программы Мамоновского сельского поселения Верхнемамонского муниципального района  Воронежской области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24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2835"/>
        <w:gridCol w:w="2693"/>
        <w:gridCol w:w="1035"/>
        <w:gridCol w:w="15"/>
        <w:gridCol w:w="1077"/>
        <w:gridCol w:w="1134"/>
        <w:gridCol w:w="992"/>
        <w:gridCol w:w="992"/>
        <w:gridCol w:w="992"/>
        <w:gridCol w:w="957"/>
        <w:tblGridChange w:id="0">
          <w:tblGrid>
            <w:gridCol w:w="2518"/>
            <w:gridCol w:w="2835"/>
            <w:gridCol w:w="2693"/>
            <w:gridCol w:w="1035"/>
            <w:gridCol w:w="15"/>
            <w:gridCol w:w="1077"/>
            <w:gridCol w:w="1134"/>
            <w:gridCol w:w="992"/>
            <w:gridCol w:w="992"/>
            <w:gridCol w:w="992"/>
            <w:gridCol w:w="957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Статус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муниципальной программы, подпрограммы, основного мероприятия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Расходы местного бюджета на реализацию муниципальной программы, тыс.руб.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  <w:br w:type="textWrapping"/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МУНИЦИПАЛЬНАЯ ПРОГРАММА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"Социальная сфера" на 2020-2025 годы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13312,1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2216,3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2658,7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2674,1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2669,5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1541,2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1552,3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том числе по ГРБС: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сельского поселения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13312,1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2216,3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2658,7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2674,1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2669,5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1541,2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1552,3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Содействие сохранению и развитию муниципальных учреждений культуры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13307,3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2216,0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2656,3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2672,0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2669,5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1541,2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1552,3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том числе по ГРБС: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сельского поселения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13307,3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2216,0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2656,3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2672,0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2669,5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1541,2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1552,3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Основное мероприятие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том числе по ГРБС: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сельского поселения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обеспечения социальных выплат отдельным категориям граждан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том числе по ГРБС: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том числе по ГРБС: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3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муниципальной программе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Мамоновском сельского поселения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«Социальная сфера» на 2020-2025 годы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"Социальная сфера"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2020-2025 годы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786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1985"/>
        <w:gridCol w:w="2693"/>
        <w:gridCol w:w="960"/>
        <w:gridCol w:w="1308"/>
        <w:gridCol w:w="1134"/>
        <w:gridCol w:w="992"/>
        <w:gridCol w:w="992"/>
        <w:gridCol w:w="1134"/>
        <w:gridCol w:w="1070"/>
        <w:tblGridChange w:id="0">
          <w:tblGrid>
            <w:gridCol w:w="2518"/>
            <w:gridCol w:w="1985"/>
            <w:gridCol w:w="2693"/>
            <w:gridCol w:w="960"/>
            <w:gridCol w:w="1308"/>
            <w:gridCol w:w="1134"/>
            <w:gridCol w:w="992"/>
            <w:gridCol w:w="992"/>
            <w:gridCol w:w="1134"/>
            <w:gridCol w:w="107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Статус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Источники 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ресурсного 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обеспечения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расходов по годам реализации муниципальной программы, тыс. руб.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  <w:br w:type="textWrapping"/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7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МУНИЦИПАЛЬНАЯ ПРОГРАММА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"Социальная сфера" на 2020-2025 годы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всего, в том числе: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13892,1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2216,3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2658,7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3254,7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2669,5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1541,2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1552,3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федеральный бюджет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областной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580,0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580,0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местный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13312,1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2216,3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2658,7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2674,7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2669,5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1541,2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1552,3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внебюджетные фонды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юридические лица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Содействие сохранению и развитию муниципальных учреждений культуры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всего, в том числе: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13887,3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2216,0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2656,3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3252</w:t>
            </w:r>
          </w:p>
          <w:p w:rsidR="00000000" w:rsidDel="00000000" w:rsidP="00000000" w:rsidRDefault="00000000" w:rsidRPr="00000000" w14:paraId="0000035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2669,5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1541,2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1552,3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федеральный бюджет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областной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580,0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580,0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местный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13307,3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2216,0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2656,3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2672,0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2669,5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1541,2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1552,3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внебюджетные фонды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Основное мероприятие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всего, в том числе: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федеральный бюджет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областной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местный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внебюджетные фонды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обеспечения социальных выплат отдельным категориям граждан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всего, в том числе: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федеральный бюджет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областной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местный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внебюджетные фонды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Финансовое обеспечение выполнения других расходных обязательств органа местного самоуправления - администрации Мамоновском сельского поселения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всего, в том числе: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федеральный бюджет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областной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местный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внебюджетные фонды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4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муниципальной программе 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Мамоновского сельского поселения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«Социальная сфера» на 2020-2025 годы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реализации муниципальной программы  "Социальная сфера"  на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7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  <w:tblGridChange w:id="0">
          <w:tblGrid>
            <w:gridCol w:w="850"/>
            <w:gridCol w:w="1810"/>
            <w:gridCol w:w="2268"/>
            <w:gridCol w:w="1559"/>
            <w:gridCol w:w="1559"/>
            <w:gridCol w:w="2977"/>
            <w:gridCol w:w="1785"/>
            <w:gridCol w:w="1978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Статус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 подпрограммы,  основного мероприятия, мероприятия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</w:t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КБК </w:t>
              <w:br w:type="textWrapping"/>
              <w:t xml:space="preserve">(местный</w:t>
              <w:br w:type="textWrapping"/>
              <w:t xml:space="preserve">бюджет)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Расходы, предусмотренные решением представительного органа местного самоуправления о местном бюджете, на 202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год</w:t>
            </w:r>
          </w:p>
        </w:tc>
      </w:tr>
      <w:tr>
        <w:trPr>
          <w:cantSplit w:val="0"/>
          <w:trHeight w:val="184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начала реализации</w:t>
              <w:br w:type="textWrapping"/>
              <w:t xml:space="preserve">мероприятия в очередном финансовом году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окончания реализации</w:t>
              <w:br w:type="textWrapping"/>
              <w:t xml:space="preserve">мероприятия</w:t>
              <w:br w:type="textWrapping"/>
              <w:t xml:space="preserve">в очередном финансовом году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МУНИЦИПАЛЬНАЯ ПРОГРАММА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"Социальная сфера" на 2020-2025 годы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01.01.202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31.12.202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2669,5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Содействие сохранению и развитию муниципальных учреждений культуры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01.01.2023г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31.12.2023г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многообразной и полноценной культурной жизни населения Мамоновского сельского поселения;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91408011100190590000</w:t>
            </w:r>
          </w:p>
          <w:p w:rsidR="00000000" w:rsidDel="00000000" w:rsidP="00000000" w:rsidRDefault="00000000" w:rsidRPr="00000000" w14:paraId="000004D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91408011100178490000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2669,5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Основное мероприятие</w:t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01.01.2023г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31.12.2023г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91411011100290410244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обеспечения социальных выплат отдельным категориям граждан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01.01.2023г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31.12.2023г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91410031100390490321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01.01.2023г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31.12.2023г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91404121100498430244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906" w:w="16838" w:orient="landscape"/>
          <w:pgMar w:bottom="850" w:top="1276" w:left="1134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ntique Oliv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" w:cs="Noto Sans" w:eastAsia="Noto Sans" w:hAnsi="Noto Sans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b w:val="1"/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.9999999999986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312" w:hanging="2159.9999999999973"/>
      </w:pPr>
      <w:rPr>
        <w:b w:val="0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1211" w:hanging="360"/>
      </w:pPr>
      <w:rPr>
        <w:rFonts w:ascii="Antique Olive" w:cs="Antique Olive" w:eastAsia="Antique Olive" w:hAnsi="Antique Oliv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429" w:hanging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1515" w:hanging="9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nt5">
    <w:name w:val="font5"/>
    <w:basedOn w:val="Обычный"/>
    <w:next w:val="font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xl67">
    <w:name w:val="xl67"/>
    <w:basedOn w:val="Обычный"/>
    <w:next w:val="xl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68">
    <w:name w:val="xl68"/>
    <w:basedOn w:val="Обычный"/>
    <w:next w:val="xl6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69">
    <w:name w:val="xl69"/>
    <w:basedOn w:val="Обычный"/>
    <w:next w:val="xl6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0">
    <w:name w:val="xl70"/>
    <w:basedOn w:val="Обычный"/>
    <w:next w:val="xl7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1">
    <w:name w:val="xl71"/>
    <w:basedOn w:val="Обычный"/>
    <w:next w:val="xl7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2">
    <w:name w:val="xl72"/>
    <w:basedOn w:val="Обычный"/>
    <w:next w:val="xl7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3">
    <w:name w:val="xl73"/>
    <w:basedOn w:val="Обычный"/>
    <w:next w:val="xl73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4">
    <w:name w:val="xl74"/>
    <w:basedOn w:val="Обычный"/>
    <w:next w:val="xl7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5">
    <w:name w:val="xl75"/>
    <w:basedOn w:val="Обычный"/>
    <w:next w:val="xl7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6">
    <w:name w:val="xl76"/>
    <w:basedOn w:val="Обычный"/>
    <w:next w:val="xl7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7">
    <w:name w:val="xl77"/>
    <w:basedOn w:val="Обычный"/>
    <w:next w:val="xl7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8">
    <w:name w:val="xl78"/>
    <w:basedOn w:val="Обычный"/>
    <w:next w:val="xl7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9">
    <w:name w:val="xl79"/>
    <w:basedOn w:val="Обычный"/>
    <w:next w:val="xl7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0">
    <w:name w:val="xl80"/>
    <w:basedOn w:val="Обычный"/>
    <w:next w:val="xl80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1">
    <w:name w:val="xl81"/>
    <w:basedOn w:val="Обычный"/>
    <w:next w:val="xl8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2">
    <w:name w:val="xl82"/>
    <w:basedOn w:val="Обычный"/>
    <w:next w:val="xl8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3">
    <w:name w:val="xl83"/>
    <w:basedOn w:val="Обычный"/>
    <w:next w:val="xl8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4">
    <w:name w:val="xl84"/>
    <w:basedOn w:val="Обычный"/>
    <w:next w:val="xl8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5">
    <w:name w:val="xl85"/>
    <w:basedOn w:val="Обычный"/>
    <w:next w:val="xl8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6">
    <w:name w:val="xl86"/>
    <w:basedOn w:val="Обычный"/>
    <w:next w:val="xl86"/>
    <w:autoRedefine w:val="0"/>
    <w:hidden w:val="0"/>
    <w:qFormat w:val="0"/>
    <w:pPr>
      <w:pBdr>
        <w:top w:color="auto" w:space="0" w:sz="4" w:val="single"/>
        <w:left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7">
    <w:name w:val="xl87"/>
    <w:basedOn w:val="Обычный"/>
    <w:next w:val="xl8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8">
    <w:name w:val="xl88"/>
    <w:basedOn w:val="Обычный"/>
    <w:next w:val="xl8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9">
    <w:name w:val="xl89"/>
    <w:basedOn w:val="Обычный"/>
    <w:next w:val="xl89"/>
    <w:autoRedefine w:val="0"/>
    <w:hidden w:val="0"/>
    <w:qFormat w:val="0"/>
    <w:pPr>
      <w:pBdr>
        <w:left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90">
    <w:name w:val="xl90"/>
    <w:basedOn w:val="Обычный"/>
    <w:next w:val="xl90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91">
    <w:name w:val="xl91"/>
    <w:basedOn w:val="Обычный"/>
    <w:next w:val="xl9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92">
    <w:name w:val="xl92"/>
    <w:basedOn w:val="Обычный"/>
    <w:next w:val="xl9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93">
    <w:name w:val="xl93"/>
    <w:basedOn w:val="Обычный"/>
    <w:next w:val="xl93"/>
    <w:autoRedefine w:val="0"/>
    <w:hidden w:val="0"/>
    <w:qFormat w:val="0"/>
    <w:pPr>
      <w:pBdr>
        <w:left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94">
    <w:name w:val="xl94"/>
    <w:basedOn w:val="Обычный"/>
    <w:next w:val="xl94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95">
    <w:name w:val="xl95"/>
    <w:basedOn w:val="Обычный"/>
    <w:next w:val="xl9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xl96">
    <w:name w:val="xl96"/>
    <w:basedOn w:val="Обычный"/>
    <w:next w:val="xl9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xl97">
    <w:name w:val="xl97"/>
    <w:basedOn w:val="Обычный"/>
    <w:next w:val="xl9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98">
    <w:name w:val="xl98"/>
    <w:basedOn w:val="Обычный"/>
    <w:next w:val="xl98"/>
    <w:autoRedefine w:val="0"/>
    <w:hidden w:val="0"/>
    <w:qFormat w:val="0"/>
    <w:pPr>
      <w:pBdr>
        <w:top w:color="auto" w:space="0" w:sz="4" w:val="single"/>
        <w:left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99">
    <w:name w:val="xl99"/>
    <w:basedOn w:val="Обычный"/>
    <w:next w:val="xl9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0">
    <w:name w:val="xl100"/>
    <w:basedOn w:val="Обычный"/>
    <w:next w:val="xl10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1">
    <w:name w:val="xl101"/>
    <w:basedOn w:val="Обычный"/>
    <w:next w:val="xl10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2">
    <w:name w:val="xl102"/>
    <w:basedOn w:val="Обычный"/>
    <w:next w:val="xl10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3">
    <w:name w:val="xl103"/>
    <w:basedOn w:val="Обычный"/>
    <w:next w:val="xl10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xl104">
    <w:name w:val="xl104"/>
    <w:basedOn w:val="Обычный"/>
    <w:next w:val="xl10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5">
    <w:name w:val="xl105"/>
    <w:basedOn w:val="Обычный"/>
    <w:next w:val="xl105"/>
    <w:autoRedefine w:val="0"/>
    <w:hidden w:val="0"/>
    <w:qFormat w:val="0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6">
    <w:name w:val="xl106"/>
    <w:basedOn w:val="Обычный"/>
    <w:next w:val="xl106"/>
    <w:autoRedefine w:val="0"/>
    <w:hidden w:val="0"/>
    <w:qFormat w:val="0"/>
    <w:pPr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7">
    <w:name w:val="xl107"/>
    <w:basedOn w:val="Обычный"/>
    <w:next w:val="xl107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8">
    <w:name w:val="xl108"/>
    <w:basedOn w:val="Обычный"/>
    <w:next w:val="xl108"/>
    <w:autoRedefine w:val="0"/>
    <w:hidden w:val="0"/>
    <w:qFormat w:val="0"/>
    <w:pPr>
      <w:pBdr>
        <w:left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9">
    <w:name w:val="xl109"/>
    <w:basedOn w:val="Обычный"/>
    <w:next w:val="xl109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0">
    <w:name w:val="xl110"/>
    <w:basedOn w:val="Обычный"/>
    <w:next w:val="xl110"/>
    <w:autoRedefine w:val="0"/>
    <w:hidden w:val="0"/>
    <w:qFormat w:val="0"/>
    <w:pPr>
      <w:pBdr>
        <w:top w:color="auto" w:space="0" w:sz="4" w:val="single"/>
        <w:left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1">
    <w:name w:val="xl111"/>
    <w:basedOn w:val="Обычный"/>
    <w:next w:val="xl111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2">
    <w:name w:val="xl112"/>
    <w:basedOn w:val="Обычный"/>
    <w:next w:val="xl112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3">
    <w:name w:val="xl113"/>
    <w:basedOn w:val="Обычный"/>
    <w:next w:val="xl11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4">
    <w:name w:val="xl114"/>
    <w:basedOn w:val="Обычный"/>
    <w:next w:val="xl11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5">
    <w:name w:val="xl115"/>
    <w:basedOn w:val="Обычный"/>
    <w:next w:val="xl11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6">
    <w:name w:val="xl116"/>
    <w:basedOn w:val="Обычный"/>
    <w:next w:val="xl11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7">
    <w:name w:val="xl117"/>
    <w:basedOn w:val="Обычный"/>
    <w:next w:val="xl117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8">
    <w:name w:val="xl118"/>
    <w:basedOn w:val="Обычный"/>
    <w:next w:val="xl11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text1">
    <w:name w:val="text1"/>
    <w:next w:val="tex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Знак1">
    <w:name w:val="Знак1"/>
    <w:basedOn w:val="Обычный"/>
    <w:next w:val="Знак1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0" w:line="240" w:lineRule="auto"/>
      <w:ind w:left="708"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ConsPlusCell">
    <w:name w:val="ConsPlusCell"/>
    <w:next w:val="ConsPlusCel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styleId="БезинтервалаЗнак">
    <w:name w:val="Без интервала Знак"/>
    <w:next w:val="БезинтервалаЗнак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numbering" w:styleId="Нетсписка1">
    <w:name w:val="Нет списка1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xl119">
    <w:name w:val="xl119"/>
    <w:basedOn w:val="Обычный"/>
    <w:next w:val="xl11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20">
    <w:name w:val="xl120"/>
    <w:basedOn w:val="Обычный"/>
    <w:next w:val="xl12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Сеткатаблицы1">
    <w:name w:val="Сетка таблицы1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nsPlusNonformat">
    <w:name w:val="ConsPlusNonformat"/>
    <w:next w:val="ConsPlusNonforma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ConsPlusTitle">
    <w:name w:val="ConsPlusTitle"/>
    <w:next w:val="ConsPlusTitle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ConsNonformat">
    <w:name w:val="ConsNonformat"/>
    <w:next w:val="ConsNonforma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right="19772" w:leftChars="-1" w:rightChars="0" w:firstLineChars="-1"/>
      <w:textDirection w:val="btLr"/>
      <w:textAlignment w:val="top"/>
      <w:outlineLvl w:val="0"/>
    </w:pPr>
    <w:rPr>
      <w:rFonts w:ascii="Courier New" w:cs="Courier New" w:eastAsia="SimSun" w:hAnsi="Courier New"/>
      <w:w w:val="100"/>
      <w:position w:val="-1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IKfLkImt8YOd7IyRMFLPhMIqgA==">AMUW2mUMMcpoTjLuaEED205K/F2ztKeJRQVXc9KlS//nNY/A7QtkoXmEawiJMsCob7iLnU48Vy3zKYaE7mqf4bBtlvZDGdHhLw0/YnJz8/XX0FxelRfEW7g=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2019-10-18T07:42:00Z</dcterms:created>
  <dc:creator>Администрация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