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C" w:rsidRDefault="002E2E3B" w:rsidP="002E2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E2E3B" w:rsidRDefault="002E2E3B" w:rsidP="002E2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40EC" w:rsidRDefault="002E2E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МАМОНОВСКОГО СЕЛЬСКОГО ПОСЕЛЕНИЯ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D340EC" w:rsidRDefault="00D34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«» 2025 г.                                                                                                        №   </w:t>
      </w: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мамонского муниципального района Воронежской области «Инфраструктура» на 2020-2028 годы»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>» на 2020-2028 годы»: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Изложить Муниципальную программу Мамоновского сельского поселения Верхнемамонского муниципального района Воронежской области «Инфраструктура» на 2020-2028 годы» в новой редакции согласно приложению к настоящему постановлению.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                О.Н.Ворфоломеева</w:t>
      </w: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D340EC" w:rsidRDefault="002E2E3B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D340EC" w:rsidRDefault="002E2E3B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D340EC" w:rsidRDefault="002E2E3B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..2025 года №   </w:t>
      </w:r>
    </w:p>
    <w:p w:rsidR="00D340EC" w:rsidRDefault="002E2E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D340EC" w:rsidRDefault="00D340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4"/>
        <w:tblW w:w="9796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3021"/>
        <w:gridCol w:w="6775"/>
      </w:tblGrid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 Мамоновского сельского поселения Верхнемамонского муниципального района 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нежской области «Инфраструктура» на 2020-2028 годы.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 и основные мероприятия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«Развитие дорожного хозяйства на территории Мамоновского сельского посел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ения Верхнемамонского муниципального района Воронежской области».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вности в системе наружного освещения;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на территории Мамоновского сельского поселения;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уставными целями организаций;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Осуществление муниципального жилищного контроля. 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</w:r>
          </w:p>
          <w:p w:rsidR="00D340EC" w:rsidRDefault="002E2E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Информационная, методическая и организационная поддержка террито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общественного самоуправления.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Организация финансовой поддержки территориального общественного самоуправления.</w:t>
            </w:r>
          </w:p>
          <w:p w:rsidR="00D340EC" w:rsidRDefault="00D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«Развитие и поддержка малого и среднего предпринимательства на территории Мамоновского сельского поселения Верхнема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монского  муниципального района Воронежской области на 2020-2028 годы».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D340EC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жающих жизнедеятельности человека, повышение   безопасности   населения .</w:t>
            </w:r>
          </w:p>
        </w:tc>
      </w:tr>
      <w:tr w:rsidR="00D340EC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Доля  обеспеченности системой наружного 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улиц, проездов, набережных сельского поселения на конец отчетного года;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установленных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ерритории поселения контейнеров для сбора твердых коммунальных отходов (ТКО) от их нормативного количества; 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Количество реализованных проектов, инициированных ТОС или в рамках инициативного бюджетирования.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поселения.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2020-2028 годы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   36640,5 тыс. рублей, в том числе средства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бюджета составляют -  23326,1 тыс. руб.;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составляют - 8710,1 тыс. руб.;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лица-4555,8 тыс. руб., физические лица-48,5 тыс. руб.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 составляет: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витие дорожного хозяйства на территории Мамоновского сельского поселения Верхнемамонского муниципального района Воронежской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- 24435,9 тыс. руб., в том числе средства областного  бюджета составляют – 19000 тыс. руб.;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- 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 тыс. руб.;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7600,3 тыс. руб., в том числе средства  областного бюджета  4326,1 тыс. руб.; в том числе средства  местного бюджета  3274,2 тыс. руб.;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еления Верхнемамонского муниципального района Воронежской области»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4604,3 тыс. руб., в том числе средства областного бюджета 0 тыс. руб., средства местного бюджета –0 тыс. руб., юридические лица-4555,8 тыс. руб., физические лица-48,5 тыс. руб.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годы»-</w:t>
            </w:r>
          </w:p>
          <w:p w:rsidR="00D340EC" w:rsidRDefault="002E2E3B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0 тыс. руб., в том числе средства областного бюджета 0 тыс.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б., средства местного бюджета – 0 тыс. руб.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 36640,5 (тыс. руб.):</w:t>
            </w:r>
          </w:p>
          <w:tbl>
            <w:tblPr>
              <w:tblStyle w:val="afffffffff5"/>
              <w:tblW w:w="65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68"/>
              <w:gridCol w:w="1095"/>
              <w:gridCol w:w="2085"/>
              <w:gridCol w:w="1702"/>
            </w:tblGrid>
            <w:tr w:rsidR="00D340EC">
              <w:trPr>
                <w:cantSplit/>
                <w:trHeight w:val="841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D340EC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2681,4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999,3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759,0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12407,4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9007,8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928,0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3375,7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2320,6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1055,1</w:t>
                  </w:r>
                </w:p>
              </w:tc>
            </w:tr>
            <w:tr w:rsidR="00D340EC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3764,6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781,6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1690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556,9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1238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2541,1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1275,3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2843,6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2077,3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766,3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3030,7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2077,3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953,4</w:t>
                  </w:r>
                </w:p>
              </w:tc>
            </w:tr>
            <w:tr w:rsidR="00D340EC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3030,7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2077,3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953,4</w:t>
                  </w:r>
                </w:p>
              </w:tc>
            </w:tr>
          </w:tbl>
          <w:p w:rsidR="00D340EC" w:rsidRDefault="00D340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2028 году;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Доведение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нности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собственности до 100%;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г.; 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5.Увеличение количества реализованных проектов, инициированных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 или в рамках инициативного бюджетирования 8 проектов до 2028 г.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 100 %.</w:t>
            </w:r>
          </w:p>
        </w:tc>
      </w:tr>
    </w:tbl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D340EC" w:rsidRDefault="002E2E3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 программы.</w:t>
      </w:r>
    </w:p>
    <w:p w:rsidR="00D340EC" w:rsidRDefault="00D340E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</w:t>
      </w:r>
      <w:r>
        <w:rPr>
          <w:rFonts w:ascii="Times New Roman" w:eastAsia="Times New Roman" w:hAnsi="Times New Roman" w:cs="Times New Roman"/>
          <w:sz w:val="24"/>
          <w:szCs w:val="24"/>
        </w:rPr>
        <w:t>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</w:t>
      </w:r>
      <w:r>
        <w:rPr>
          <w:rFonts w:ascii="Times New Roman" w:eastAsia="Times New Roman" w:hAnsi="Times New Roman" w:cs="Times New Roman"/>
          <w:sz w:val="24"/>
          <w:szCs w:val="24"/>
        </w:rPr>
        <w:t>ие населения к власти.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«Инфраструктура» на 2020-2028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Надлежащее оформление права собственности,  своевременная техническая инвентаризация муниципальной собственности являе</w:t>
      </w:r>
      <w:r>
        <w:rPr>
          <w:rFonts w:ascii="Times New Roman" w:eastAsia="Times New Roman" w:hAnsi="Times New Roman" w:cs="Times New Roman"/>
          <w:sz w:val="24"/>
          <w:szCs w:val="24"/>
        </w:rPr>
        <w:t>тся залогом целостности всего муниципального имущества.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проблемой, стоящей перед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</w:t>
      </w:r>
      <w:r>
        <w:rPr>
          <w:rFonts w:ascii="Times New Roman" w:eastAsia="Times New Roman" w:hAnsi="Times New Roman" w:cs="Times New Roman"/>
          <w:sz w:val="24"/>
          <w:szCs w:val="24"/>
        </w:rPr>
        <w:t>ний нежилые здания и сооружения, самовольные постройки.</w:t>
      </w:r>
    </w:p>
    <w:p w:rsidR="00D340EC" w:rsidRDefault="00D340E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</w:t>
      </w:r>
      <w:r>
        <w:rPr>
          <w:rFonts w:ascii="Times New Roman" w:eastAsia="Times New Roman" w:hAnsi="Times New Roman" w:cs="Times New Roman"/>
          <w:sz w:val="24"/>
          <w:szCs w:val="24"/>
        </w:rPr>
        <w:t>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</w:t>
      </w:r>
      <w:r>
        <w:rPr>
          <w:rFonts w:ascii="Times New Roman" w:eastAsia="Times New Roman" w:hAnsi="Times New Roman" w:cs="Times New Roman"/>
          <w:sz w:val="24"/>
          <w:szCs w:val="24"/>
        </w:rPr>
        <w:t>ние села от города по уровню и условиям жизнедеятельности.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</w:t>
      </w:r>
      <w:r>
        <w:rPr>
          <w:rFonts w:ascii="Times New Roman" w:eastAsia="Times New Roman" w:hAnsi="Times New Roman" w:cs="Times New Roman"/>
          <w:sz w:val="24"/>
          <w:szCs w:val="24"/>
        </w:rPr>
        <w:t>печение качественного водоснабжения, газоснабжения, надежного электроснабжения.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развитие всех основных видов инженерных сетей в  сельском поселении:</w:t>
      </w:r>
    </w:p>
    <w:p w:rsidR="00D340EC" w:rsidRDefault="002E2E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газификация;</w:t>
      </w:r>
    </w:p>
    <w:p w:rsidR="00D340EC" w:rsidRDefault="002E2E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водоснабжение;</w:t>
      </w:r>
    </w:p>
    <w:p w:rsidR="00D340EC" w:rsidRDefault="002E2E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водоотведение;</w:t>
      </w:r>
    </w:p>
    <w:p w:rsidR="00D340EC" w:rsidRDefault="002E2E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электроснабжение;</w:t>
      </w:r>
    </w:p>
    <w:p w:rsidR="00D340EC" w:rsidRDefault="002E2E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теплоснабже</w:t>
      </w:r>
      <w:r>
        <w:rPr>
          <w:rFonts w:ascii="Times New Roman" w:eastAsia="Times New Roman" w:hAnsi="Times New Roman" w:cs="Times New Roman"/>
          <w:sz w:val="24"/>
          <w:szCs w:val="24"/>
        </w:rPr>
        <w:t>ние;</w:t>
      </w:r>
    </w:p>
    <w:p w:rsidR="00D340EC" w:rsidRDefault="002E2E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связь и телекоммуникации.</w:t>
      </w:r>
    </w:p>
    <w:p w:rsidR="00D340EC" w:rsidRDefault="00D340E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</w:t>
      </w:r>
      <w:r>
        <w:rPr>
          <w:rFonts w:ascii="Times New Roman" w:eastAsia="Times New Roman" w:hAnsi="Times New Roman" w:cs="Times New Roman"/>
          <w:sz w:val="24"/>
          <w:szCs w:val="24"/>
        </w:rPr>
        <w:t>ьных дорог общего пользования в сельском поселении составляет 10,5 км.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усугубляется недостат</w:t>
      </w:r>
      <w:r>
        <w:rPr>
          <w:rFonts w:ascii="Times New Roman" w:eastAsia="Times New Roman" w:hAnsi="Times New Roman" w:cs="Times New Roman"/>
          <w:sz w:val="24"/>
          <w:szCs w:val="24"/>
        </w:rPr>
        <w:t>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обеспечения устойчивого социально-экономического развития сельской территории и эффективного функционирования агро</w:t>
      </w:r>
      <w:r>
        <w:rPr>
          <w:rFonts w:ascii="Times New Roman" w:eastAsia="Times New Roman" w:hAnsi="Times New Roman" w:cs="Times New Roman"/>
          <w:sz w:val="24"/>
          <w:szCs w:val="24"/>
        </w:rPr>
        <w:t>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</w:t>
      </w:r>
      <w:r>
        <w:rPr>
          <w:rFonts w:ascii="Times New Roman" w:eastAsia="Times New Roman" w:hAnsi="Times New Roman" w:cs="Times New Roman"/>
          <w:sz w:val="24"/>
          <w:szCs w:val="24"/>
        </w:rPr>
        <w:t>ство и активизацию человеческого потенциала.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</w:t>
      </w:r>
      <w:r>
        <w:rPr>
          <w:rFonts w:ascii="Times New Roman" w:eastAsia="Times New Roman" w:hAnsi="Times New Roman" w:cs="Times New Roman"/>
          <w:sz w:val="24"/>
          <w:szCs w:val="24"/>
        </w:rPr>
        <w:t>ных жизненных потребностей проживающего на их территории населения.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отсутствием в последние годы государственной п</w:t>
      </w:r>
      <w:r>
        <w:rPr>
          <w:rFonts w:ascii="Times New Roman" w:eastAsia="Times New Roman" w:hAnsi="Times New Roman" w:cs="Times New Roman"/>
          <w:sz w:val="24"/>
          <w:szCs w:val="24"/>
        </w:rPr>
        <w:t>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</w:t>
      </w:r>
      <w:r>
        <w:rPr>
          <w:rFonts w:ascii="Times New Roman" w:eastAsia="Times New Roman" w:hAnsi="Times New Roman" w:cs="Times New Roman"/>
          <w:sz w:val="24"/>
          <w:szCs w:val="24"/>
        </w:rPr>
        <w:t>ивого отношения к объектам муниципальной собственности.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Последнее время большое внимание уделяется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 территории парка</w:t>
      </w:r>
      <w:r>
        <w:rPr>
          <w:rFonts w:ascii="Times New Roman" w:eastAsia="Times New Roman" w:hAnsi="Times New Roman" w:cs="Times New Roman"/>
          <w:sz w:val="24"/>
          <w:szCs w:val="24"/>
        </w:rPr>
        <w:t>, мест массового отдыха жителей, в том числе на водных объектах, улучшению условий проживания и отдыха жителей сельского пос</w:t>
      </w:r>
      <w:r>
        <w:rPr>
          <w:rFonts w:ascii="Times New Roman" w:eastAsia="Times New Roman" w:hAnsi="Times New Roman" w:cs="Times New Roman"/>
          <w:sz w:val="24"/>
          <w:szCs w:val="24"/>
        </w:rPr>
        <w:t>еления.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требующие решения в рамках муниципальной программы: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сохранение, возрождение и поддержание объектов культурного досуга в надлежащем виде;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общего санитарного состояния территории сельского поселения, в том числе сквера;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в местах массового отдыха;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и озеленение  территории сельского поселения;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освещения мест массового отдыха жителей.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Комплекс проблем, требующих решения программно-</w:t>
      </w:r>
      <w:r>
        <w:rPr>
          <w:rFonts w:ascii="Times New Roman" w:eastAsia="Times New Roman" w:hAnsi="Times New Roman" w:cs="Times New Roman"/>
          <w:sz w:val="24"/>
          <w:szCs w:val="24"/>
        </w:rPr>
        <w:t>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Негативная тенденция снижения уровня безопасности насе</w:t>
      </w:r>
      <w:r>
        <w:rPr>
          <w:rFonts w:ascii="Times New Roman" w:eastAsia="Times New Roman" w:hAnsi="Times New Roman" w:cs="Times New Roman"/>
          <w:sz w:val="24"/>
          <w:szCs w:val="24"/>
        </w:rPr>
        <w:t>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современных условиях негативные факторы техногенного, природного и тер</w:t>
      </w:r>
      <w:r>
        <w:rPr>
          <w:rFonts w:ascii="Times New Roman" w:eastAsia="Times New Roman" w:hAnsi="Times New Roman" w:cs="Times New Roman"/>
          <w:sz w:val="24"/>
          <w:szCs w:val="24"/>
        </w:rPr>
        <w:t>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вопросам пожарной безопасности территории  поселения уделя</w:t>
      </w:r>
      <w:r>
        <w:rPr>
          <w:rFonts w:ascii="Times New Roman" w:eastAsia="Times New Roman" w:hAnsi="Times New Roman" w:cs="Times New Roman"/>
          <w:sz w:val="24"/>
          <w:szCs w:val="24"/>
        </w:rPr>
        <w:t>ется постоянное внимание. В настоящее время действуют 10 муниципальных правовых актов по данной тематике.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</w:t>
      </w:r>
      <w:r>
        <w:rPr>
          <w:rFonts w:ascii="Times New Roman" w:eastAsia="Times New Roman" w:hAnsi="Times New Roman" w:cs="Times New Roman"/>
          <w:sz w:val="24"/>
          <w:szCs w:val="24"/>
        </w:rPr>
        <w:t>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Памятник  находится в удовлетв</w:t>
      </w:r>
      <w:r>
        <w:rPr>
          <w:rFonts w:ascii="Times New Roman" w:eastAsia="Times New Roman" w:hAnsi="Times New Roman" w:cs="Times New Roman"/>
          <w:sz w:val="24"/>
          <w:szCs w:val="24"/>
        </w:rPr>
        <w:t>орительном состоянии, но нуждается в проведении ремонтно-восстановительных работ и благоустройстве территории.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</w:t>
      </w:r>
      <w:r>
        <w:rPr>
          <w:rFonts w:ascii="Times New Roman" w:eastAsia="Times New Roman" w:hAnsi="Times New Roman" w:cs="Times New Roman"/>
          <w:sz w:val="24"/>
          <w:szCs w:val="24"/>
        </w:rPr>
        <w:t>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своего осуществления. 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зации муниципальной программы</w:t>
      </w:r>
    </w:p>
    <w:p w:rsidR="00D340EC" w:rsidRDefault="00D340EC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numPr>
          <w:ilvl w:val="1"/>
          <w:numId w:val="3"/>
        </w:numPr>
        <w:spacing w:after="0"/>
        <w:ind w:hanging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программы.</w:t>
      </w:r>
    </w:p>
    <w:p w:rsidR="00D340EC" w:rsidRDefault="00D340E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эффективного экономического механизма,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D340EC" w:rsidRDefault="00D340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40EC" w:rsidRDefault="002E2E3B">
      <w:pPr>
        <w:numPr>
          <w:ilvl w:val="1"/>
          <w:numId w:val="3"/>
        </w:numPr>
        <w:spacing w:after="0"/>
        <w:ind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D340EC" w:rsidRDefault="00D340EC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подпрограммы является: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</w:t>
      </w:r>
      <w:r>
        <w:rPr>
          <w:rFonts w:ascii="Times New Roman" w:eastAsia="Times New Roman" w:hAnsi="Times New Roman" w:cs="Times New Roman"/>
          <w:sz w:val="24"/>
          <w:szCs w:val="24"/>
        </w:rPr>
        <w:t>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D340EC" w:rsidRDefault="00D340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D340EC" w:rsidRDefault="00D340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-эффективность функционирования действующе</w:t>
      </w:r>
      <w:r>
        <w:rPr>
          <w:rFonts w:ascii="Times New Roman" w:eastAsia="Times New Roman" w:hAnsi="Times New Roman" w:cs="Times New Roman"/>
          <w:sz w:val="24"/>
          <w:szCs w:val="24"/>
        </w:rPr>
        <w:t>й транспортной инфраструктуры;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освещения улично-дорожной сети;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340EC" w:rsidRDefault="002E2E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льной программы приведены в приложении 1.</w:t>
      </w:r>
    </w:p>
    <w:p w:rsidR="00D340EC" w:rsidRDefault="00D340EC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40EC" w:rsidRDefault="002E2E3B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D340EC" w:rsidRDefault="00D340EC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</w:t>
      </w:r>
      <w:r>
        <w:rPr>
          <w:rFonts w:ascii="Times New Roman" w:eastAsia="Times New Roman" w:hAnsi="Times New Roman" w:cs="Times New Roman"/>
          <w:sz w:val="24"/>
          <w:szCs w:val="24"/>
        </w:rPr>
        <w:t>льных дорог общего пользования местного значения до 15% к 2028 году;</w:t>
      </w:r>
    </w:p>
    <w:p w:rsidR="00D340EC" w:rsidRDefault="002E2E3B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Доведение 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D340EC" w:rsidRDefault="002E2E3B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Увеличение доли установленных на территории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контейнеров для сбора твердых коммунальных отходов (ТКО) от их нормативного количества до 189,3 %к 2028 году; </w:t>
      </w:r>
    </w:p>
    <w:p w:rsidR="00D340EC" w:rsidRDefault="002E2E3B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4.Увеличение количества реализованных проектов, инициированных ТОС или в рамках инициативного бюджетирования 8 шт до 2028 года.</w:t>
      </w:r>
    </w:p>
    <w:p w:rsidR="00D340EC" w:rsidRDefault="00D340EC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40EC" w:rsidRDefault="002E2E3B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2.4.Сроки и эта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пы реализации муниципальной программы</w:t>
      </w:r>
    </w:p>
    <w:p w:rsidR="00D340EC" w:rsidRDefault="00D340E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2020 по 2028 годы (в один этап).</w:t>
      </w:r>
    </w:p>
    <w:p w:rsidR="00D340EC" w:rsidRDefault="00D3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 муниципальной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ы.</w:t>
      </w:r>
    </w:p>
    <w:p w:rsidR="00D340EC" w:rsidRDefault="00D3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Воронежской области». </w:t>
      </w: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ежской области». </w:t>
      </w: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ниципального района Воронежской области на 2020-2028 годы».</w:t>
      </w:r>
    </w:p>
    <w:p w:rsidR="00D340EC" w:rsidRDefault="00D34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40EC" w:rsidRDefault="002E2E3B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D340EC" w:rsidRDefault="00D340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составляет  36640,5 тыс.руб., в том числе: </w:t>
      </w:r>
    </w:p>
    <w:p w:rsidR="00D340EC" w:rsidRDefault="002E2E3B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 23326,1 тыс.руб.;</w:t>
      </w:r>
    </w:p>
    <w:p w:rsidR="00D340EC" w:rsidRDefault="002E2E3B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местный бюджет – 8710,1 тыс.руб.;</w:t>
      </w:r>
    </w:p>
    <w:p w:rsidR="00D340EC" w:rsidRDefault="002E2E3B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 – 4555,8 тыс. руб.;</w:t>
      </w:r>
    </w:p>
    <w:p w:rsidR="00D340EC" w:rsidRDefault="002E2E3B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 – 48,5 тыс. руб.</w:t>
      </w:r>
    </w:p>
    <w:p w:rsidR="00D340EC" w:rsidRDefault="002E2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p w:rsidR="00D340EC" w:rsidRDefault="00D3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6"/>
        <w:tblW w:w="946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916"/>
        <w:gridCol w:w="917"/>
        <w:gridCol w:w="917"/>
        <w:gridCol w:w="916"/>
        <w:gridCol w:w="917"/>
        <w:gridCol w:w="917"/>
        <w:gridCol w:w="917"/>
        <w:gridCol w:w="917"/>
        <w:gridCol w:w="917"/>
      </w:tblGrid>
      <w:tr w:rsidR="00D340EC">
        <w:trPr>
          <w:cantSplit/>
          <w:trHeight w:val="1310"/>
          <w:tblHeader/>
        </w:trPr>
        <w:tc>
          <w:tcPr>
            <w:tcW w:w="1218" w:type="dxa"/>
          </w:tcPr>
          <w:p w:rsidR="00D340EC" w:rsidRDefault="002E2E3B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D340EC" w:rsidRDefault="00D34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340EC">
        <w:trPr>
          <w:cantSplit/>
          <w:trHeight w:val="753"/>
          <w:tblHeader/>
        </w:trPr>
        <w:tc>
          <w:tcPr>
            <w:tcW w:w="1218" w:type="dxa"/>
            <w:vAlign w:val="bottom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2681,5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3364,6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2843,6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</w:tr>
      <w:tr w:rsidR="00D340EC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2541,1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</w:tr>
      <w:tr w:rsidR="00D340EC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16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1275,3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766,3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917" w:type="dxa"/>
          </w:tcPr>
          <w:p w:rsidR="00D340EC" w:rsidRDefault="002E2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</w:tr>
    </w:tbl>
    <w:p w:rsidR="00D340EC" w:rsidRDefault="00D340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 «Социальная сфера» на 2020-2028 годы приведены в приложении 2.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</w:t>
      </w:r>
      <w:r>
        <w:rPr>
          <w:rFonts w:ascii="Times New Roman" w:eastAsia="Times New Roman" w:hAnsi="Times New Roman" w:cs="Times New Roman"/>
          <w:sz w:val="24"/>
          <w:szCs w:val="24"/>
        </w:rPr>
        <w:t>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D340EC" w:rsidRDefault="002E2E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D340EC" w:rsidRDefault="00D340E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 рисков реализации муниципальной программы и описание мер управления рисками реализации муниципальной программы</w:t>
      </w:r>
    </w:p>
    <w:p w:rsidR="00D340EC" w:rsidRDefault="00D340E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</w:t>
      </w:r>
      <w:r>
        <w:rPr>
          <w:rFonts w:ascii="Times New Roman" w:eastAsia="Times New Roman" w:hAnsi="Times New Roman" w:cs="Times New Roman"/>
          <w:sz w:val="24"/>
          <w:szCs w:val="24"/>
        </w:rPr>
        <w:t>учетом инерционности показателей, характеризующих результаты мероприятий реализации подпрограммы;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своевременная актуализация ежегодных планов реализации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в том числе корректировка состава и сроков исполн</w:t>
      </w:r>
      <w:r>
        <w:rPr>
          <w:rFonts w:ascii="Times New Roman" w:eastAsia="Times New Roman" w:hAnsi="Times New Roman" w:cs="Times New Roman"/>
          <w:sz w:val="24"/>
          <w:szCs w:val="24"/>
        </w:rPr>
        <w:t>ения мероприятий с сохранением ожидаемых результатов мероприятий муниципальной программы.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</w:t>
      </w:r>
      <w:r>
        <w:rPr>
          <w:rFonts w:ascii="Times New Roman" w:eastAsia="Times New Roman" w:hAnsi="Times New Roman" w:cs="Times New Roman"/>
          <w:sz w:val="24"/>
          <w:szCs w:val="24"/>
        </w:rPr>
        <w:t>сфере реализации программы и при необходимости актуализация плана реализации муниципальной программы.</w:t>
      </w: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D340EC" w:rsidRDefault="00D340E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D340EC" w:rsidRDefault="002E2E3B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D340EC" w:rsidRDefault="00D340EC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40EC" w:rsidRDefault="00D340EC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</w:t>
      </w:r>
      <w:r>
        <w:rPr>
          <w:rFonts w:ascii="Times New Roman" w:eastAsia="Times New Roman" w:hAnsi="Times New Roman" w:cs="Times New Roman"/>
          <w:sz w:val="24"/>
          <w:szCs w:val="24"/>
        </w:rPr>
        <w:t>роприятия (для показателей (индикаторов), желаемой тенденцией развития которых является рост значений),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D340EC" w:rsidRDefault="002E2E3B">
      <w:pPr>
        <w:widowControl w:val="0"/>
        <w:tabs>
          <w:tab w:val="left" w:pos="311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D340EC" w:rsidRDefault="00D340EC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(индикаторов), желаемой тенденцией развития которых является снижение значений);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D340EC" w:rsidRDefault="00D340EC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40EC" w:rsidRDefault="00D340EC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40EC" w:rsidRDefault="002E2E3B">
      <w:pPr>
        <w:widowControl w:val="0"/>
        <w:tabs>
          <w:tab w:val="left" w:pos="15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323850" cy="352425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4485" cy="35242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ответствующий отчетный период.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(индикаторов) муниципальной программы и ее подпрограмм (основных мероприятий) равны или больше 100%;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процентов, уровень финансирования реализации мероприятий всех подпрогра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 (основных мероприятий )муниципальной программы составил не менее 90 процентов;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2). Муниципальная программа считается реализуемой с удовлетворительным уровнем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эффективности, если: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D340EC" w:rsidRDefault="002E2E3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340EC" w:rsidRDefault="00D340E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одпрограммы муниципальной программы</w:t>
      </w: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0EC" w:rsidRDefault="002E2E3B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Перечень подпрограмм муниципальной программы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3 «Развитие системы территориального общественного самоуправления на территории Мамоновского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Верхнемамонского муниципального района Воронежской области».</w:t>
      </w:r>
    </w:p>
    <w:p w:rsidR="00D340EC" w:rsidRDefault="002E2E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4 «Развитие и поддержка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территории Мамоновского сельского поселения Верхнемамонского  муниципального района Воронежской области на </w:t>
      </w:r>
      <w:r>
        <w:rPr>
          <w:rFonts w:ascii="Times New Roman" w:eastAsia="Times New Roman" w:hAnsi="Times New Roman" w:cs="Times New Roman"/>
          <w:sz w:val="24"/>
          <w:szCs w:val="24"/>
        </w:rPr>
        <w:t>2020-2028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годы».</w:t>
      </w: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tbl>
      <w:tblPr>
        <w:tblStyle w:val="afffffffff7"/>
        <w:tblW w:w="957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4"/>
        <w:gridCol w:w="6487"/>
      </w:tblGrid>
      <w:tr w:rsidR="00D340EC">
        <w:trPr>
          <w:cantSplit/>
          <w:trHeight w:val="105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на территории Мамоновского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D340E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муниципального района Воронежской области 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</w:tc>
      </w:tr>
      <w:tr w:rsidR="00D340EC">
        <w:trPr>
          <w:cantSplit/>
          <w:trHeight w:val="5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340EC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340EC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D340EC" w:rsidRDefault="002E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D340EC" w:rsidRDefault="00D340EC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Общий объем финансового обеспечения реализации подпрограммы в 2020 - 2028 годах составляет 24435,9 тыс. рублей, из них: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1347,1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9021,1  тыс. руб.;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1936,4 тыс. руб.;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–1966,8  тыс. руб.;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939,9 тыс. руб.;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681,0 тыс. руб;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2723,2 тыс. руб;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в 2027 году – 2910,2 тыс. руб;</w:t>
            </w:r>
          </w:p>
          <w:p w:rsidR="00D340EC" w:rsidRDefault="002E2E3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2910,2 тыс. 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1.Снижение доли протяженности автомобильных дорог 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отвечающих нормативным требованиям, в общей протяженности автомобильных дорог  общего пользования местного значения, 15 % к 2028 г.</w:t>
            </w:r>
          </w:p>
        </w:tc>
      </w:tr>
    </w:tbl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</w:t>
      </w:r>
      <w:r>
        <w:rPr>
          <w:rFonts w:ascii="Times New Roman" w:eastAsia="Times New Roman" w:hAnsi="Times New Roman" w:cs="Times New Roman"/>
          <w:sz w:val="24"/>
          <w:szCs w:val="24"/>
        </w:rPr>
        <w:t>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</w:t>
      </w:r>
      <w:r>
        <w:rPr>
          <w:rFonts w:ascii="Times New Roman" w:eastAsia="Times New Roman" w:hAnsi="Times New Roman" w:cs="Times New Roman"/>
          <w:sz w:val="24"/>
          <w:szCs w:val="24"/>
        </w:rPr>
        <w:t>ения качества жизни населения.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</w:t>
      </w:r>
      <w:r>
        <w:rPr>
          <w:rFonts w:ascii="Times New Roman" w:eastAsia="Times New Roman" w:hAnsi="Times New Roman" w:cs="Times New Roman"/>
          <w:sz w:val="24"/>
          <w:szCs w:val="24"/>
        </w:rPr>
        <w:t>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с твердым покрытием – 6,3 км;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грунтовые – 4,2 км</w:t>
      </w:r>
    </w:p>
    <w:p w:rsidR="00D340EC" w:rsidRDefault="00D340E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D340EC" w:rsidRDefault="002E2E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сети автомобильных дорог общего пользования Мамоновского сельского поселения.</w:t>
      </w:r>
    </w:p>
    <w:p w:rsidR="00D340EC" w:rsidRDefault="00D340EC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</w:t>
      </w:r>
      <w:r>
        <w:rPr>
          <w:rFonts w:ascii="Times New Roman" w:eastAsia="Times New Roman" w:hAnsi="Times New Roman" w:cs="Times New Roman"/>
          <w:sz w:val="24"/>
          <w:szCs w:val="24"/>
        </w:rPr>
        <w:t>остями в строительстве, реконструкции, ремонте объектов транспортной инфраструктуры местного значения.</w:t>
      </w:r>
    </w:p>
    <w:p w:rsidR="00D340EC" w:rsidRDefault="00D34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1.Доля протяженности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программе.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D340EC" w:rsidRDefault="00D34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 общего пользования местного значения, не отвечающих 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ормативным требованиям, в общей протяженности автомобильных дорог  общего пользования местного значения, 15 % к 2028 г.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</w:t>
      </w:r>
      <w:r>
        <w:rPr>
          <w:rFonts w:ascii="Times New Roman" w:eastAsia="Times New Roman" w:hAnsi="Times New Roman" w:cs="Times New Roman"/>
          <w:sz w:val="24"/>
          <w:szCs w:val="24"/>
        </w:rPr>
        <w:t>н этап).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D340EC" w:rsidRDefault="00D340EC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сети автомобильных дорог общего пользования Мамоновского сельского поселения.</w:t>
      </w: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предусматривает:</w:t>
      </w:r>
    </w:p>
    <w:p w:rsidR="00D340EC" w:rsidRDefault="002E2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устройство щебеночных дорог;</w:t>
      </w:r>
    </w:p>
    <w:p w:rsidR="00D340EC" w:rsidRDefault="002E2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ямочный ремонт дорог;</w:t>
      </w:r>
    </w:p>
    <w:p w:rsidR="00D340EC" w:rsidRDefault="002E2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содержание дорог.</w:t>
      </w:r>
    </w:p>
    <w:p w:rsidR="00D340EC" w:rsidRDefault="00D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340EC" w:rsidRDefault="00D340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внебюджетных фондов, юридических и физических лиц.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D340EC" w:rsidRDefault="00D340E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</w:t>
      </w:r>
      <w:r>
        <w:rPr>
          <w:rFonts w:ascii="Times New Roman" w:eastAsia="Times New Roman" w:hAnsi="Times New Roman" w:cs="Times New Roman"/>
          <w:sz w:val="24"/>
          <w:szCs w:val="24"/>
        </w:rPr>
        <w:t>яются: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</w:t>
      </w:r>
      <w:r>
        <w:rPr>
          <w:rFonts w:ascii="Times New Roman" w:eastAsia="Times New Roman" w:hAnsi="Times New Roman" w:cs="Times New Roman"/>
          <w:sz w:val="24"/>
          <w:szCs w:val="24"/>
        </w:rPr>
        <w:t>иеся механизмов реализации программных мероприятий;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D340EC" w:rsidRDefault="00D340E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</w:t>
      </w:r>
      <w:r>
        <w:rPr>
          <w:rFonts w:ascii="Times New Roman" w:eastAsia="Times New Roman" w:hAnsi="Times New Roman" w:cs="Times New Roman"/>
          <w:sz w:val="24"/>
          <w:szCs w:val="24"/>
        </w:rPr>
        <w:t>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7.1.2. Подпрограмма 2 «Развитие территории Мамоновского сельс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кого поселения Верхнемамонского муниципального района Воронежской области».</w:t>
      </w:r>
    </w:p>
    <w:p w:rsidR="00D340EC" w:rsidRDefault="00D34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8"/>
        <w:tblW w:w="957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4"/>
        <w:gridCol w:w="6487"/>
      </w:tblGrid>
      <w:tr w:rsidR="00D340E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нежской области </w:t>
            </w:r>
          </w:p>
          <w:p w:rsidR="00D340EC" w:rsidRDefault="00D340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D340E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ательных работ и оказанием первой помощи пострадавшим, в соответствии с уставными целями организаций;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ека, повышение   безопасности   населения.</w:t>
            </w:r>
          </w:p>
        </w:tc>
      </w:tr>
      <w:tr w:rsidR="00D340EC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актера;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поселения.</w:t>
            </w:r>
          </w:p>
        </w:tc>
      </w:tr>
      <w:tr w:rsidR="00D340EC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 системой наружного освещения  улиц, проездов, набережных муниципальных образований на на конец отчетного года;</w:t>
            </w:r>
          </w:p>
          <w:p w:rsidR="00D340EC" w:rsidRDefault="002E2E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собственности;</w:t>
            </w:r>
          </w:p>
          <w:p w:rsidR="00D340EC" w:rsidRDefault="002E2E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установленных на территории поселения контейнеров для сбора твердых коммунальных отходов (ТКО)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их нормативного количества.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D340EC" w:rsidRDefault="00D340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340EC" w:rsidRDefault="00D340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 годах составляет 7600,3 тыс. рублей, из них: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411,2 тыс. руб.;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914,7 тыс. руб.;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1439,3  тыс. руб.;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588,2 тыс. руб.;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750,1 тыс. руб.;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 3135,4 тыс. руб;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 120,4 тыс. руб;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 120,5 тыс. руб;</w:t>
            </w:r>
          </w:p>
          <w:p w:rsidR="00D340EC" w:rsidRDefault="002E2E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 120,5 тыс. 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Доведение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обеспеченности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доли объектов муниципальной собственности, на которые оформлено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раво муниципальной собственности в общем количестве объектов муниципальной собственности до 100 %; 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</w:t>
            </w:r>
          </w:p>
        </w:tc>
      </w:tr>
    </w:tbl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 благоустройства террит</w:t>
      </w:r>
      <w:r>
        <w:rPr>
          <w:rFonts w:ascii="Times New Roman" w:eastAsia="Times New Roman" w:hAnsi="Times New Roman" w:cs="Times New Roman"/>
          <w:sz w:val="24"/>
          <w:szCs w:val="24"/>
        </w:rPr>
        <w:t>ории является одной из насущных, требующих ежедневного внимания и эффективного решения: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</w:t>
      </w:r>
      <w:r>
        <w:rPr>
          <w:rFonts w:ascii="Times New Roman" w:eastAsia="Times New Roman" w:hAnsi="Times New Roman" w:cs="Times New Roman"/>
          <w:sz w:val="24"/>
          <w:szCs w:val="24"/>
        </w:rPr>
        <w:t>тройства, уборке сквера, пляжа.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Мамоновского сельского поселения расположен сквер «Первомайский», пляж «Садовый» , тротуар, кладбище.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 целях улучшения санитарного и экологического состояния Мамоновского сельского поселения решением Совета на</w:t>
      </w:r>
      <w:r>
        <w:rPr>
          <w:rFonts w:ascii="Times New Roman" w:eastAsia="Times New Roman" w:hAnsi="Times New Roman" w:cs="Times New Roman"/>
          <w:sz w:val="24"/>
          <w:szCs w:val="24"/>
        </w:rPr>
        <w:t>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соблюдения санитарных и экологических норм, на территории Мамоновского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Администрацией Мамоновского  сельского поселения в 2018 году были приобретены контейнеры для сбора твердых бытов</w:t>
      </w:r>
      <w:r>
        <w:rPr>
          <w:rFonts w:ascii="Times New Roman" w:eastAsia="Times New Roman" w:hAnsi="Times New Roman" w:cs="Times New Roman"/>
          <w:sz w:val="24"/>
          <w:szCs w:val="24"/>
        </w:rPr>
        <w:t>ых отходов и сделаны 2 контейнерные площадки. На сегодняшний день существует потребность в дополнительном  приобретении 19 контейнеров.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градостроительная деятельность и межевание;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энергосбережение и повышение энергетической эффективности в системе наружного освещения;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и реконструкция систем в</w:t>
      </w:r>
      <w:r>
        <w:rPr>
          <w:rFonts w:ascii="Times New Roman" w:eastAsia="Times New Roman" w:hAnsi="Times New Roman" w:cs="Times New Roman"/>
          <w:sz w:val="24"/>
          <w:szCs w:val="24"/>
        </w:rPr>
        <w:t>одоснабжения и водоотведения Мамоновского сельского поселения;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территорий муниципальных образований;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предупреждение и ликвидация последствий чрезвычайных ситуаций на территории Мамоновского сельского поселения;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</w:t>
      </w:r>
      <w:r>
        <w:rPr>
          <w:rFonts w:ascii="Times New Roman" w:eastAsia="Times New Roman" w:hAnsi="Times New Roman" w:cs="Times New Roman"/>
          <w:sz w:val="24"/>
          <w:szCs w:val="24"/>
        </w:rPr>
        <w:t>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муниципального жилищного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комфортной среды жизнедеятельности населения,устранение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освещения улично-дорожной сети; </w:t>
      </w:r>
    </w:p>
    <w:p w:rsidR="00D340EC" w:rsidRDefault="002E2E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sz w:val="24"/>
          <w:szCs w:val="24"/>
        </w:rPr>
        <w:t>тижение запланированных результатов характеризуется следующими целевыми индикаторами: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Доля  обеспеченности системой наружного освещения  улиц, проездов, набережных сельского поселения на на конец отчетного года;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 Доля объектов муниципальной со</w:t>
      </w:r>
      <w:r>
        <w:rPr>
          <w:rFonts w:ascii="Times New Roman" w:eastAsia="Times New Roman" w:hAnsi="Times New Roman" w:cs="Times New Roman"/>
          <w:sz w:val="24"/>
          <w:szCs w:val="24"/>
        </w:rPr>
        <w:t>бственности, на которые оформлено право муниципальной собственности в общем количестве объектов муниципальной собственности;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Доля установленных на территории поселения контейнеров для сбора твердых коммунальных отходов (ТКО) от их нормативного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а; 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Доведение 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100 %; 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Увеличение доли установленных на территории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контейнеров для сбора твердых коммунальных отходов (ТКО) от их нормативного количества до 189,3 % к 2028 г.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здел 3. Характеристика основных мероприятий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Градостроительная деятельность и межевание;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2.2.Энергосбережение и повышение энергетич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эффективности в системе наружного освещения;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2.4.Благоустройство территорий муниципальных образований;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Предупреждение и ликвидация последст</w:t>
      </w:r>
      <w:r>
        <w:rPr>
          <w:rFonts w:ascii="Times New Roman" w:eastAsia="Times New Roman" w:hAnsi="Times New Roman" w:cs="Times New Roman"/>
          <w:sz w:val="24"/>
          <w:szCs w:val="24"/>
        </w:rPr>
        <w:t>вий чрезвычайных ситуаций на территории Мамоновского сельского поселения;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</w:t>
      </w:r>
      <w:r>
        <w:rPr>
          <w:rFonts w:ascii="Times New Roman" w:eastAsia="Times New Roman" w:hAnsi="Times New Roman" w:cs="Times New Roman"/>
          <w:sz w:val="24"/>
          <w:szCs w:val="24"/>
        </w:rPr>
        <w:t>острадавшим, в соответствии с уставными целями организаций;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Осуществление муниципального жилищного контроля.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предусматривает: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изменений в Генплан и ПЗЗ сельского поселения;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модернизацию системы наружного освещения;</w:t>
      </w:r>
    </w:p>
    <w:p w:rsidR="00D340EC" w:rsidRDefault="002E2E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мест массового захоронения;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и ремонт объектом мест массового отдыха;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</w:t>
      </w:r>
      <w:r>
        <w:rPr>
          <w:rFonts w:ascii="Times New Roman" w:eastAsia="Times New Roman" w:hAnsi="Times New Roman" w:cs="Times New Roman"/>
          <w:sz w:val="24"/>
          <w:szCs w:val="24"/>
        </w:rPr>
        <w:t>ритории сельского поселения;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дезинсекции от клещей и комаров;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 в реализации подпрограммы муниципальной программы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печение реализации подпрограммы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</w:t>
      </w:r>
      <w:r>
        <w:rPr>
          <w:rFonts w:ascii="Times New Roman" w:eastAsia="Times New Roman" w:hAnsi="Times New Roman" w:cs="Times New Roman"/>
          <w:sz w:val="24"/>
          <w:szCs w:val="24"/>
        </w:rPr>
        <w:t>и подпрограммы на текущий финансовый год приведен в Приложении 4 к программе.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</w:t>
      </w:r>
      <w:r>
        <w:rPr>
          <w:rFonts w:ascii="Times New Roman" w:eastAsia="Times New Roman" w:hAnsi="Times New Roman" w:cs="Times New Roman"/>
          <w:sz w:val="24"/>
          <w:szCs w:val="24"/>
        </w:rPr>
        <w:t>ного и неполного использования работниками органов местного самоуправления инструментов подпрограммы;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форс-мажорные обстоятельства.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енка эффективности реализации подпрограммы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и их плановых значений;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авление фактических и плановых объемов финансирования мероприятий, их формирования и реализации.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льного района Воронежской области»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D340EC" w:rsidRDefault="00D340EC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9"/>
        <w:tblW w:w="957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4"/>
        <w:gridCol w:w="6487"/>
      </w:tblGrid>
      <w:tr w:rsidR="00D340E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D340E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Информационная, методическая и организационная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оддержка территориального общественного самоуправления.</w:t>
            </w:r>
          </w:p>
          <w:p w:rsidR="00D340EC" w:rsidRDefault="002E2E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D340EC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вопросов местного значения;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D340EC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D340EC" w:rsidRDefault="002E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D340EC" w:rsidRDefault="00D340EC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финансового обеспечения реализации подпрограммы в 2020 - 2028 годах составляет 4604,3 тыс. рублей, из них: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923,1 тыс. 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2471,6 тыс. 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1209,6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количества реализованных проектов, инициированных ТОС или в рамках инициативного бюджетирования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проектов до 2028 г.</w:t>
            </w: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органов местного самоуправления, принимаемые без учета и </w:t>
      </w:r>
      <w:r>
        <w:rPr>
          <w:rFonts w:ascii="Times New Roman" w:eastAsia="Times New Roman" w:hAnsi="Times New Roman" w:cs="Times New Roman"/>
          <w:sz w:val="24"/>
          <w:szCs w:val="24"/>
        </w:rPr>
        <w:t>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участия жителей в улучшении качества своей жизни и решении общественных проблем.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«Первомайский»,ТОС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Надежда», ТОС «Карусель». 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реализацию инициатив ТОС в 2019 году было выделено 490,6 тыс. рублей, из них: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бюджета Воронежской области –472,6 тыс. руб.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жителей, юридических лиц, индивидуальных предпринимателей – 18 тыс.руб.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 же время о</w:t>
      </w:r>
      <w:r>
        <w:rPr>
          <w:rFonts w:ascii="Times New Roman" w:eastAsia="Times New Roman" w:hAnsi="Times New Roman" w:cs="Times New Roman"/>
          <w:sz w:val="24"/>
          <w:szCs w:val="24"/>
        </w:rPr>
        <w:t>стаются нерешенными ряд вопросов, среди которых следует отметить следующие: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Низкий уровень общественной активности, общественной поддержки и доверия граждан к деятельности ТОС.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Общественная активность населения, его участие в реализации социальных пр</w:t>
      </w:r>
      <w:r>
        <w:rPr>
          <w:rFonts w:ascii="Times New Roman" w:eastAsia="Times New Roman" w:hAnsi="Times New Roman" w:cs="Times New Roman"/>
          <w:sz w:val="24"/>
          <w:szCs w:val="24"/>
        </w:rPr>
        <w:t>оектов и программ носят ситуативный характер.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подпрограммы «Развитие системы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2020-2028 годы (далее - Подпрограмма) обусловлена необходимостью выработки системного, комплексного подхода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D340EC" w:rsidRDefault="00D340E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поддержки ТОС являются:</w:t>
      </w:r>
    </w:p>
    <w:p w:rsidR="00D340EC" w:rsidRDefault="002E2E3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поддержки ТОС;</w:t>
      </w:r>
    </w:p>
    <w:p w:rsidR="00D340EC" w:rsidRDefault="002E2E3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инфраструктуры, 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>, консультационной поддержки ТОС;</w:t>
      </w:r>
    </w:p>
    <w:p w:rsidR="00D340EC" w:rsidRDefault="002E2E3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D340EC" w:rsidRDefault="002E2E3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D340EC" w:rsidRDefault="00D340EC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участия ТОС в </w:t>
      </w:r>
      <w:r>
        <w:rPr>
          <w:rFonts w:ascii="Times New Roman" w:eastAsia="Times New Roman" w:hAnsi="Times New Roman" w:cs="Times New Roman"/>
          <w:sz w:val="24"/>
          <w:szCs w:val="24"/>
        </w:rPr>
        <w:t>решении вопросов местного значения;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</w:t>
      </w:r>
      <w:r>
        <w:rPr>
          <w:rFonts w:ascii="Times New Roman" w:eastAsia="Times New Roman" w:hAnsi="Times New Roman" w:cs="Times New Roman"/>
          <w:sz w:val="24"/>
          <w:szCs w:val="24"/>
        </w:rPr>
        <w:t>выми индикаторами: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Конечные результаты реализации муниципальной подпрограммы.</w:t>
      </w:r>
    </w:p>
    <w:p w:rsidR="00D340EC" w:rsidRDefault="00D34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количества реализованных проектов, инициированных ТОС или в рамках инициативного бюджетирования 8 шт до 2028 г.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этапы реализации муниципальной подпрограммы.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D340EC" w:rsidRDefault="00D340EC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</w:t>
      </w:r>
      <w:r>
        <w:rPr>
          <w:rFonts w:ascii="Times New Roman" w:eastAsia="Times New Roman" w:hAnsi="Times New Roman" w:cs="Times New Roman"/>
          <w:sz w:val="24"/>
          <w:szCs w:val="24"/>
        </w:rPr>
        <w:t>риятий, направленных на решение поставленных задач: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исполнения основных мероприятий до 2028 года.</w:t>
      </w:r>
    </w:p>
    <w:p w:rsidR="00D340EC" w:rsidRDefault="00D340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общественных, научных и иных организаций, а также  внебюджетных фондов, юридических и физических лиц.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3 к муниципальной программе.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</w:t>
      </w:r>
      <w:r>
        <w:rPr>
          <w:rFonts w:ascii="Times New Roman" w:eastAsia="Times New Roman" w:hAnsi="Times New Roman" w:cs="Times New Roman"/>
          <w:sz w:val="24"/>
          <w:szCs w:val="24"/>
        </w:rPr>
        <w:t>яются: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отсутствие или недостаточное финансирование мероприятий подпрограммы;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</w:t>
      </w:r>
      <w:r>
        <w:rPr>
          <w:rFonts w:ascii="Times New Roman" w:eastAsia="Times New Roman" w:hAnsi="Times New Roman" w:cs="Times New Roman"/>
          <w:sz w:val="24"/>
          <w:szCs w:val="24"/>
        </w:rPr>
        <w:t>иеся механизмов реализации программных мероприятий;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D340EC" w:rsidRDefault="00D340E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D340EC" w:rsidRDefault="00D340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340EC" w:rsidRDefault="002E2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</w:t>
      </w:r>
      <w:r>
        <w:rPr>
          <w:rFonts w:ascii="Times New Roman" w:eastAsia="Times New Roman" w:hAnsi="Times New Roman" w:cs="Times New Roman"/>
          <w:sz w:val="24"/>
          <w:szCs w:val="24"/>
        </w:rPr>
        <w:t>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340EC" w:rsidRDefault="002E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7.1.4. Подпрограмма 4 «Развитие и поддержка малого и среднег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предпринимательства на территории Мамоновского сельского поселения Верхнемамонского  муниципального района Воронежской области на 2020-2028 годы»</w:t>
      </w: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</w:t>
      </w:r>
    </w:p>
    <w:p w:rsidR="00D340EC" w:rsidRDefault="00D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a"/>
        <w:tblW w:w="9794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2827"/>
        <w:gridCol w:w="6967"/>
      </w:tblGrid>
      <w:tr w:rsidR="00D340EC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2020-2028 годы</w:t>
            </w:r>
          </w:p>
        </w:tc>
      </w:tr>
      <w:tr w:rsidR="00D340EC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новского сельского поселения Верхнемамонского муниципального района Воронежской области 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D340EC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D340EC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Содействие сокращению административных барьеров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 предпринимательства.</w:t>
            </w:r>
          </w:p>
        </w:tc>
      </w:tr>
      <w:tr w:rsidR="00D340EC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условий, стимулирующих граждан к занятию предприн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имательской деятельностью для повышения занятости населения.</w:t>
            </w:r>
          </w:p>
        </w:tc>
      </w:tr>
      <w:tr w:rsidR="00D340EC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340EC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малых и средних предприятий в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числе хозяйствующих субъектов поселения</w:t>
            </w:r>
          </w:p>
        </w:tc>
      </w:tr>
      <w:tr w:rsidR="00D340EC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 годы.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40EC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 годах составляет 0 тыс. рублей, из них: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 0 тыс. 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 0 тыс. 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 0 тыс.руб.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 0 тыс.руб.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тыс.руб.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тыс.руб.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0 тыс.руб.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тыс.руб.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340EC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малых и средних предприятий в общем числе хозяйствующих субъектов поселения  100% до 2028 г.</w:t>
            </w:r>
          </w:p>
        </w:tc>
      </w:tr>
    </w:tbl>
    <w:p w:rsidR="00D340EC" w:rsidRDefault="00D34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275 человек.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2006 года в Верхнемамонском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существует ряд проблем мешающих развитию бизнеса: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сохраняется недостаток квалифицированных кадров у субъектов малого и средн</w:t>
      </w:r>
      <w:r>
        <w:rPr>
          <w:rFonts w:ascii="Times New Roman" w:eastAsia="Times New Roman" w:hAnsi="Times New Roman" w:cs="Times New Roman"/>
          <w:sz w:val="24"/>
          <w:szCs w:val="24"/>
        </w:rPr>
        <w:t>его предпринимательства;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части персонала, приводящий к росту негативного отношения к предпринимательству со стороны населения; 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Сдерживающим фактором является низкая покупательская 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по всем видам экономической деятельности, контролировать достижения намеченных результатов.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основных ожидаемых конечных результатов подпрограммы, сроков и контрольных этапов реализации подпрограммы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развития пред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принимательства являются: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совместная с бизнесом работа по повышению общественного статуса и значимости предприним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ательства;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снижение административных барьеров;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D340EC" w:rsidRDefault="00D34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выше ос</w:t>
      </w:r>
      <w:r>
        <w:rPr>
          <w:rFonts w:ascii="Times New Roman" w:eastAsia="Times New Roman" w:hAnsi="Times New Roman" w:cs="Times New Roman"/>
          <w:sz w:val="24"/>
          <w:szCs w:val="24"/>
        </w:rPr>
        <w:t>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Достижение заявленных целей и решение поставленных зад</w:t>
      </w:r>
      <w:r>
        <w:rPr>
          <w:rFonts w:ascii="Times New Roman" w:eastAsia="Times New Roman" w:hAnsi="Times New Roman" w:cs="Times New Roman"/>
          <w:sz w:val="24"/>
          <w:szCs w:val="24"/>
        </w:rPr>
        <w:t>ач подпрограммы будет осуществляться в рамках реализации основных мероприятий: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ожидаемыми результатами реализации подпрограммы по итогам 2028 года будет увеличение доли малых и средних предприятий в общем числе хозяйствующих субъектов поселения.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реализации муниципальной подпрограммы.</w:t>
      </w:r>
    </w:p>
    <w:p w:rsidR="00D340EC" w:rsidRDefault="00D34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срок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подпрограммы рассчитан на период с 2020 по 2028 год (в один этап).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</w:t>
      </w:r>
      <w:r>
        <w:rPr>
          <w:rFonts w:ascii="Times New Roman" w:eastAsia="Times New Roman" w:hAnsi="Times New Roman" w:cs="Times New Roman"/>
          <w:sz w:val="24"/>
          <w:szCs w:val="24"/>
        </w:rPr>
        <w:t>ых столов», конференций по проблемным вопросам и другие.</w:t>
      </w: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40EC" w:rsidRDefault="002E2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реализации подпрограммы  «Раз</w:t>
      </w:r>
      <w:r>
        <w:rPr>
          <w:rFonts w:ascii="Times New Roman" w:eastAsia="Times New Roman" w:hAnsi="Times New Roman" w:cs="Times New Roman"/>
          <w:sz w:val="24"/>
          <w:szCs w:val="24"/>
        </w:rPr>
        <w:t>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 годы»</w:t>
      </w:r>
    </w:p>
    <w:tbl>
      <w:tblPr>
        <w:tblStyle w:val="afffffffffb"/>
        <w:tblW w:w="9840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495"/>
        <w:gridCol w:w="4095"/>
        <w:gridCol w:w="1755"/>
        <w:gridCol w:w="1290"/>
        <w:gridCol w:w="2205"/>
      </w:tblGrid>
      <w:tr w:rsidR="00D340E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340E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0E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340E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участии выставочно-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ярмарочной деятельности субъектов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340E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340E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340EC" w:rsidRDefault="002E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340EC" w:rsidRDefault="00D3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 Информация об участии общественных, научн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 внебюджетных фондов, юридических и физических лиц.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Объемы финансирования подпро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подлежат ежегодному уточнению в рамках бюджетного цикла.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Расходы на реализацию подпрограммы  из бюджетов приведены в приложении 3 к муниципальной программе.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на текущий финансовый год приведен в Плане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муниципальной программы, согласно приложению 4 к муниципальной программе.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340EC" w:rsidRDefault="002E2E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Недостаточная квалификация сотрудников в должностные о</w:t>
      </w:r>
      <w:r>
        <w:rPr>
          <w:rFonts w:ascii="Times New Roman" w:eastAsia="Times New Roman" w:hAnsi="Times New Roman" w:cs="Times New Roman"/>
          <w:sz w:val="24"/>
          <w:szCs w:val="24"/>
        </w:rPr>
        <w:t>бязанности, которых входит организация реализации подпрограммы.</w:t>
      </w: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</w:t>
      </w:r>
      <w:r>
        <w:rPr>
          <w:rFonts w:ascii="Times New Roman" w:eastAsia="Times New Roman" w:hAnsi="Times New Roman" w:cs="Times New Roman"/>
          <w:sz w:val="24"/>
          <w:szCs w:val="24"/>
        </w:rPr>
        <w:t>и актуализация плана реализации подпрограммы.</w:t>
      </w:r>
    </w:p>
    <w:p w:rsidR="00D340EC" w:rsidRDefault="002E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данных рисков – риски низкие.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В результате реализации мероприятий подпрограммы в 2020-2028 годах будет увеличена доля малых и средних пр</w:t>
      </w:r>
      <w:r>
        <w:rPr>
          <w:rFonts w:ascii="Times New Roman" w:eastAsia="Times New Roman" w:hAnsi="Times New Roman" w:cs="Times New Roman"/>
          <w:sz w:val="24"/>
          <w:szCs w:val="24"/>
        </w:rPr>
        <w:t>едприятий в общем числе хозяйствующих субъектов поселения.</w:t>
      </w: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40EC" w:rsidRDefault="00D340E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D340E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40E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D340EC" w:rsidRDefault="00D340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c"/>
        <w:tblW w:w="1497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74"/>
      </w:tblGrid>
      <w:tr w:rsidR="00D340EC">
        <w:trPr>
          <w:cantSplit/>
          <w:trHeight w:hRule="exact" w:val="4220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2020-2028 годы  и их значениях</w:t>
            </w:r>
          </w:p>
          <w:tbl>
            <w:tblPr>
              <w:tblStyle w:val="afffffffffd"/>
              <w:tblW w:w="14775" w:type="dxa"/>
              <w:tblInd w:w="60" w:type="dxa"/>
              <w:tblLayout w:type="fixed"/>
              <w:tblLook w:val="0000" w:firstRow="0" w:lastRow="0" w:firstColumn="0" w:lastColumn="0" w:noHBand="0" w:noVBand="0"/>
            </w:tblPr>
            <w:tblGrid>
              <w:gridCol w:w="975"/>
              <w:gridCol w:w="3315"/>
              <w:gridCol w:w="1230"/>
              <w:gridCol w:w="825"/>
              <w:gridCol w:w="1050"/>
              <w:gridCol w:w="225"/>
              <w:gridCol w:w="105"/>
              <w:gridCol w:w="525"/>
              <w:gridCol w:w="975"/>
              <w:gridCol w:w="150"/>
              <w:gridCol w:w="825"/>
              <w:gridCol w:w="975"/>
              <w:gridCol w:w="960"/>
              <w:gridCol w:w="960"/>
              <w:gridCol w:w="840"/>
              <w:gridCol w:w="840"/>
            </w:tblGrid>
            <w:tr w:rsidR="00D340EC">
              <w:trPr>
                <w:cantSplit/>
                <w:trHeight w:val="843"/>
                <w:tblHeader/>
              </w:trPr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43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D340EC">
              <w:trPr>
                <w:cantSplit/>
                <w:trHeight w:val="236"/>
                <w:tblHeader/>
              </w:trPr>
              <w:tc>
                <w:tcPr>
                  <w:tcW w:w="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 (отчет)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2021 (отчет) 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 (отчет)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 (отчет)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 (оценка)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 (план)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 (план)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2027 (план)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2028 (план)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340EC">
              <w:trPr>
                <w:cantSplit/>
                <w:trHeight w:val="236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D340EC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«Инфраструктура» на 2020-2028 годы  </w:t>
                  </w:r>
                </w:p>
              </w:tc>
            </w:tr>
            <w:tr w:rsidR="00D340EC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D340EC">
              <w:trPr>
                <w:cantSplit/>
                <w:trHeight w:val="1840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автомобильных дорог  общего пользования местного значения, не отвечающих нормати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56.2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26.0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17 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15</w:t>
                  </w:r>
                </w:p>
              </w:tc>
            </w:tr>
            <w:tr w:rsidR="00D340EC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D340EC">
              <w:trPr>
                <w:cantSplit/>
                <w:trHeight w:val="409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Доля  обеспеченности системой наружного освещения  улиц, проездов, набережных муниципальных образований на на конец отчетного года (за исключением парков, скверов, декоративной и архитектурной подсветки)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55,2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340EC">
              <w:trPr>
                <w:cantSplit/>
                <w:trHeight w:val="2921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340EC">
              <w:trPr>
                <w:cantSplit/>
                <w:trHeight w:val="300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40EC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D340EC">
              <w:trPr>
                <w:cantSplit/>
                <w:trHeight w:val="1043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40EC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</w:t>
                  </w:r>
                </w:p>
              </w:tc>
            </w:tr>
            <w:tr w:rsidR="00D340EC">
              <w:trPr>
                <w:cantSplit/>
                <w:trHeight w:val="317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D34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40EC" w:rsidRDefault="00D34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40EC" w:rsidRDefault="002E2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0EC" w:rsidRDefault="00D340EC">
      <w:pPr>
        <w:rPr>
          <w:rFonts w:ascii="Times New Roman" w:eastAsia="Times New Roman" w:hAnsi="Times New Roman" w:cs="Times New Roman"/>
          <w:sz w:val="24"/>
          <w:szCs w:val="24"/>
        </w:rPr>
        <w:sectPr w:rsidR="00D340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40EC" w:rsidRDefault="002E2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D340EC" w:rsidRDefault="002E2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"Инфраструктура" на 2020-2028 годы</w:t>
      </w:r>
    </w:p>
    <w:p w:rsidR="00D340EC" w:rsidRDefault="00D34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0EC" w:rsidRDefault="002E2E3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D340EC" w:rsidRDefault="002E2E3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D340EC" w:rsidRDefault="002E2E3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«Инфраструктура»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2020-2028 годы</w:t>
      </w:r>
    </w:p>
    <w:p w:rsidR="00D340EC" w:rsidRDefault="00D340E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40EC" w:rsidRDefault="00D340E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ffe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865"/>
        <w:gridCol w:w="795"/>
        <w:gridCol w:w="8235"/>
        <w:gridCol w:w="2865"/>
      </w:tblGrid>
      <w:tr w:rsidR="00D340EC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D340EC">
        <w:trPr>
          <w:cantSplit/>
          <w:tblHeader/>
          <w:jc w:val="center"/>
        </w:trPr>
        <w:tc>
          <w:tcPr>
            <w:tcW w:w="765" w:type="dxa"/>
          </w:tcPr>
          <w:p w:rsidR="00D340EC" w:rsidRDefault="002E2E3B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 общего пользования местного значения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Птв / Побщ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*100,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где: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 - 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Птв – протяженность автомобильных дорог общего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ользования местного значения не отвечающих нормативным требованиям (наличие на конец отчетного года),км;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Побщ – общая протяженность автомобильных дорог общего пользования местного значения (наличие на конец отчетного года),км.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статистического наблюдения № 3-ДГ (мо) за год.</w:t>
            </w: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blHeader/>
          <w:jc w:val="center"/>
        </w:trPr>
        <w:tc>
          <w:tcPr>
            <w:tcW w:w="765" w:type="dxa"/>
          </w:tcPr>
          <w:p w:rsidR="00D340EC" w:rsidRDefault="002E2E3B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865" w:type="dxa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=  Фчс/ Нчс*100,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– доля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Фчс – фактическое число светильников, установленн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на территории муниципального образования, с учетом светильников, находящихся в неисправном состоянии;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174200946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Нчс=∑ Нчскдi</w:t>
                </w:r>
              </w:sdtContent>
            </w:sdt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I=0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Нчскдi –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число светильников по каждому сельскому поселению муниципального района, в зависимости от категорийности улиц, проездов и набережных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Нчскд=Нчса+Нчсб+Нчсв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Нчса – нормативное число светильников для дорог категории А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Нчсб - нормативное число светильников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дорог категории Б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Нчсв - нормативное число светильников для дорог категории В.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рхнемамонского муниципального района Воронежской области</w:t>
            </w:r>
          </w:p>
        </w:tc>
      </w:tr>
      <w:tr w:rsidR="00D340EC">
        <w:trPr>
          <w:cantSplit/>
          <w:tblHeader/>
          <w:jc w:val="center"/>
        </w:trPr>
        <w:tc>
          <w:tcPr>
            <w:tcW w:w="765" w:type="dxa"/>
          </w:tcPr>
          <w:p w:rsidR="00D340EC" w:rsidRDefault="002E2E3B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865" w:type="dxa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 = Ооф / Ов * 100 где: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 -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собственности,%;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Ооф – Количество объектов муниципальной собственности, на которые оформлено право муниципальной собственности,шт; согласно реестра муниципального имущества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– общее количество объектов муниципальной собственности, требующих государственной регистрации,шт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Реестра муниципального имущества Мамоновского сельского поселения Верхнемамонского муниципального района Воронежской области</w:t>
            </w: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D3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= Кф / Кнорм ×100, где: 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доля установленных на территории поселения контейнеров для сбора твердых коммунальных отходов (ТКО) от их нормативного количества,%;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 – фактическое число контейнеров, установленных на территории муниципального образования,шт;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Кнорм – нормативное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контейнеров, необходимых к установке на территории муниципального образования,шт.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Реестр мест (площадок) накопления твёрдых коммунальных отходов на территории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Мамоновского сельского поселения </w:t>
            </w: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23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Отражается участие в реализации проектов, инициированных ТОС или в рамках 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иативного бюджетирования за отчётный год. 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реализации общественно полезного проекта ТОС</w:t>
            </w: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D340EC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28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79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 = Кмс / Кхз *100, где: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 - доля малых и средних предприятий в общем числе хозяйствующих субъектов поселения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 – количество малых и средних предприятий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Кхз –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хозяйствующих субъектов поселения</w:t>
            </w:r>
          </w:p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сельского поселения </w:t>
            </w:r>
          </w:p>
        </w:tc>
        <w:tc>
          <w:tcPr>
            <w:tcW w:w="2865" w:type="dxa"/>
            <w:vAlign w:val="center"/>
          </w:tcPr>
          <w:p w:rsidR="00D340EC" w:rsidRDefault="002E2E3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D340EC" w:rsidRDefault="00D340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340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40EC" w:rsidRDefault="00D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40EC">
          <w:pgSz w:w="11906" w:h="16838"/>
          <w:pgMar w:top="1134" w:right="851" w:bottom="1134" w:left="1701" w:header="709" w:footer="709" w:gutter="0"/>
          <w:cols w:space="720"/>
        </w:sectPr>
      </w:pPr>
    </w:p>
    <w:p w:rsidR="00D340EC" w:rsidRDefault="00D340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"/>
        <w:tblW w:w="151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935"/>
        <w:gridCol w:w="1545"/>
        <w:gridCol w:w="1200"/>
        <w:gridCol w:w="105"/>
        <w:gridCol w:w="105"/>
        <w:gridCol w:w="105"/>
        <w:gridCol w:w="105"/>
        <w:gridCol w:w="1035"/>
        <w:gridCol w:w="1005"/>
        <w:gridCol w:w="1065"/>
        <w:gridCol w:w="930"/>
        <w:gridCol w:w="1050"/>
        <w:gridCol w:w="870"/>
        <w:gridCol w:w="870"/>
        <w:gridCol w:w="870"/>
        <w:gridCol w:w="870"/>
      </w:tblGrid>
      <w:tr w:rsidR="00D340EC">
        <w:trPr>
          <w:cantSplit/>
          <w:trHeight w:val="900"/>
          <w:tblHeader/>
        </w:trPr>
        <w:tc>
          <w:tcPr>
            <w:tcW w:w="15135" w:type="dxa"/>
            <w:gridSpan w:val="17"/>
            <w:tcBorders>
              <w:top w:val="nil"/>
              <w:left w:val="nil"/>
              <w:right w:val="nil"/>
            </w:tcBorders>
          </w:tcPr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"Инфраструктура" на 2020-2028 годы</w:t>
            </w:r>
          </w:p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900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54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Ресурсного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185" w:type="dxa"/>
            <w:gridSpan w:val="14"/>
            <w:shd w:val="clear" w:color="auto" w:fill="auto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тыс.руб.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D340EC" w:rsidRDefault="00D340E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  <w:p w:rsidR="00D340EC" w:rsidRDefault="00D340E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870" w:type="dxa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  <w:p w:rsidR="00D340EC" w:rsidRDefault="00D340E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36640,5</w:t>
            </w:r>
          </w:p>
        </w:tc>
        <w:tc>
          <w:tcPr>
            <w:tcW w:w="1035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2681,4</w:t>
            </w:r>
          </w:p>
        </w:tc>
        <w:tc>
          <w:tcPr>
            <w:tcW w:w="1005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1065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30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3764,6</w:t>
            </w:r>
          </w:p>
        </w:tc>
        <w:tc>
          <w:tcPr>
            <w:tcW w:w="1050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870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  <w:tc>
          <w:tcPr>
            <w:tcW w:w="870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2843,6</w:t>
            </w:r>
          </w:p>
        </w:tc>
        <w:tc>
          <w:tcPr>
            <w:tcW w:w="870" w:type="dxa"/>
          </w:tcPr>
          <w:p w:rsidR="00D340EC" w:rsidRDefault="002E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  <w:tc>
          <w:tcPr>
            <w:tcW w:w="870" w:type="dxa"/>
          </w:tcPr>
          <w:p w:rsidR="00D340EC" w:rsidRDefault="002E2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23326,1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8710,1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30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30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ОГРАММА 1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24435,9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2723,2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</w:tr>
      <w:tr w:rsidR="00D340EC">
        <w:trPr>
          <w:cantSplit/>
          <w:trHeight w:val="330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</w:tr>
      <w:tr w:rsidR="00D340EC">
        <w:trPr>
          <w:cantSplit/>
          <w:trHeight w:val="330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5435,9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D340EC">
        <w:trPr>
          <w:cantSplit/>
          <w:trHeight w:val="330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Основное мероприятие 1.1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24435,9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2723,2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5435,9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7600,3</w:t>
            </w:r>
          </w:p>
        </w:tc>
        <w:tc>
          <w:tcPr>
            <w:tcW w:w="103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411,2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914,7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1439,3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3135,4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120,5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4326,1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3274,2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1892,0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1431,5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460,5</w:t>
            </w: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245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2716,2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2894,6</w:t>
            </w:r>
          </w:p>
        </w:tc>
        <w:tc>
          <w:tcPr>
            <w:tcW w:w="1245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1338,2</w:t>
            </w:r>
          </w:p>
        </w:tc>
        <w:tc>
          <w:tcPr>
            <w:tcW w:w="1245" w:type="dxa"/>
            <w:gridSpan w:val="3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350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350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добровольное пожарное общество» в целях обеспечения деятельности добровольных пожарных команд, направленной на решение социальных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1295,3</w:t>
            </w:r>
          </w:p>
        </w:tc>
        <w:tc>
          <w:tcPr>
            <w:tcW w:w="1350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1295,3</w:t>
            </w:r>
          </w:p>
        </w:tc>
        <w:tc>
          <w:tcPr>
            <w:tcW w:w="1350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2.7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Мамоновского сельского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4604,3</w:t>
            </w:r>
          </w:p>
        </w:tc>
        <w:tc>
          <w:tcPr>
            <w:tcW w:w="1350" w:type="dxa"/>
            <w:gridSpan w:val="4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455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55" w:type="dxa"/>
            <w:gridSpan w:val="5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3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ПОДМПРОГРАММА 4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и консультационная 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  </w:t>
            </w:r>
          </w:p>
        </w:tc>
        <w:tc>
          <w:tcPr>
            <w:tcW w:w="1935" w:type="dxa"/>
            <w:vMerge w:val="restart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15"/>
          <w:tblHeader/>
        </w:trPr>
        <w:tc>
          <w:tcPr>
            <w:tcW w:w="1470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0EC" w:rsidRDefault="00D340EC">
      <w:pPr>
        <w:rPr>
          <w:rFonts w:ascii="Times New Roman" w:eastAsia="Times New Roman" w:hAnsi="Times New Roman" w:cs="Times New Roman"/>
          <w:sz w:val="24"/>
          <w:szCs w:val="24"/>
        </w:rPr>
        <w:sectPr w:rsidR="00D340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40EC" w:rsidRDefault="00D340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0"/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D340EC">
        <w:trPr>
          <w:gridAfter w:val="1"/>
          <w:wAfter w:w="69" w:type="dxa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муниципальной программе </w:t>
            </w:r>
          </w:p>
          <w:p w:rsidR="00D340EC" w:rsidRDefault="002E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D340EC" w:rsidRDefault="00D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2020-2028 годы</w:t>
            </w:r>
          </w:p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</w:t>
            </w:r>
          </w:p>
        </w:tc>
      </w:tr>
      <w:tr w:rsidR="00D340EC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D340EC" w:rsidRDefault="002E2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местном бюджете, на 2024 год</w:t>
            </w:r>
          </w:p>
        </w:tc>
      </w:tr>
      <w:tr w:rsidR="00D340EC">
        <w:trPr>
          <w:cantSplit/>
          <w:trHeight w:val="2057"/>
          <w:tblHeader/>
        </w:trPr>
        <w:tc>
          <w:tcPr>
            <w:tcW w:w="596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340EC" w:rsidRDefault="00D3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EC">
        <w:trPr>
          <w:cantSplit/>
          <w:trHeight w:val="330"/>
          <w:tblHeader/>
        </w:trPr>
        <w:tc>
          <w:tcPr>
            <w:tcW w:w="596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340EC" w:rsidRDefault="002E2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40EC">
        <w:trPr>
          <w:cantSplit/>
          <w:trHeight w:val="330"/>
          <w:tblHeader/>
        </w:trPr>
        <w:tc>
          <w:tcPr>
            <w:tcW w:w="596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1562" w:type="dxa"/>
          </w:tcPr>
          <w:p w:rsidR="00D340EC" w:rsidRDefault="002E2E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340EC" w:rsidRDefault="00D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</w:tr>
      <w:tr w:rsidR="00D340EC">
        <w:trPr>
          <w:cantSplit/>
          <w:trHeight w:val="1335"/>
          <w:tblHeader/>
        </w:trPr>
        <w:tc>
          <w:tcPr>
            <w:tcW w:w="596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дорожного хозяйства на территории Мамоновскогосельского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D340EC">
        <w:trPr>
          <w:cantSplit/>
          <w:trHeight w:val="810"/>
          <w:tblHeader/>
        </w:trPr>
        <w:tc>
          <w:tcPr>
            <w:tcW w:w="596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91404095810191290244</w:t>
            </w: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D340EC">
        <w:trPr>
          <w:cantSplit/>
          <w:trHeight w:val="1125"/>
          <w:tblHeader/>
        </w:trPr>
        <w:tc>
          <w:tcPr>
            <w:tcW w:w="596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2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914050258202S8140244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91405035820278670247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91405035820290210244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91405035820298670247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91405035820490220244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91405035820490260244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91403095820591430244</w:t>
            </w:r>
          </w:p>
          <w:p w:rsidR="00D340EC" w:rsidRDefault="002E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750,1</w:t>
            </w:r>
          </w:p>
        </w:tc>
      </w:tr>
      <w:tr w:rsidR="00D340EC">
        <w:trPr>
          <w:cantSplit/>
          <w:trHeight w:val="960"/>
          <w:tblHeader/>
        </w:trPr>
        <w:tc>
          <w:tcPr>
            <w:tcW w:w="596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0EC">
        <w:trPr>
          <w:cantSplit/>
          <w:trHeight w:val="1125"/>
          <w:tblHeader/>
        </w:trPr>
        <w:tc>
          <w:tcPr>
            <w:tcW w:w="596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</w:t>
            </w:r>
          </w:p>
        </w:tc>
        <w:tc>
          <w:tcPr>
            <w:tcW w:w="184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340EC" w:rsidRDefault="002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0EC">
        <w:trPr>
          <w:cantSplit/>
          <w:trHeight w:val="765"/>
          <w:tblHeader/>
        </w:trPr>
        <w:tc>
          <w:tcPr>
            <w:tcW w:w="596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340EC" w:rsidRDefault="00D3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0EC" w:rsidRDefault="00D340EC">
      <w:pPr>
        <w:rPr>
          <w:rFonts w:ascii="Times New Roman" w:eastAsia="Times New Roman" w:hAnsi="Times New Roman" w:cs="Times New Roman"/>
          <w:sz w:val="24"/>
          <w:szCs w:val="24"/>
        </w:rPr>
        <w:sectPr w:rsidR="00D340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40EC" w:rsidRDefault="00D340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340E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133"/>
    <w:multiLevelType w:val="multilevel"/>
    <w:tmpl w:val="AA0861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EE3"/>
    <w:multiLevelType w:val="multilevel"/>
    <w:tmpl w:val="F904BC32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2">
    <w:nsid w:val="2C457FD0"/>
    <w:multiLevelType w:val="multilevel"/>
    <w:tmpl w:val="2C38D7D0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3">
    <w:nsid w:val="2D9E4228"/>
    <w:multiLevelType w:val="multilevel"/>
    <w:tmpl w:val="5B2AEB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720F"/>
    <w:multiLevelType w:val="multilevel"/>
    <w:tmpl w:val="0714E51A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5">
    <w:nsid w:val="5CE8690D"/>
    <w:multiLevelType w:val="multilevel"/>
    <w:tmpl w:val="CF6E26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6">
    <w:nsid w:val="62C160FA"/>
    <w:multiLevelType w:val="multilevel"/>
    <w:tmpl w:val="1F5ED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92E39"/>
    <w:multiLevelType w:val="multilevel"/>
    <w:tmpl w:val="09A44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2416F"/>
    <w:multiLevelType w:val="multilevel"/>
    <w:tmpl w:val="22D0D866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685B3DDD"/>
    <w:multiLevelType w:val="multilevel"/>
    <w:tmpl w:val="29DC2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340EC"/>
    <w:rsid w:val="002E2E3B"/>
    <w:rsid w:val="00D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9"/>
    <w:next w:val="9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9"/>
    <w:next w:val="9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9"/>
    <w:next w:val="9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9"/>
    <w:next w:val="9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9"/>
    <w:next w:val="9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9"/>
    <w:next w:val="9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9"/>
    <w:next w:val="9"/>
    <w:rsid w:val="00FA69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A72744"/>
  </w:style>
  <w:style w:type="table" w:customStyle="1" w:styleId="TableNormal1">
    <w:name w:val="Table Normal"/>
    <w:rsid w:val="00A727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FA698D"/>
  </w:style>
  <w:style w:type="table" w:customStyle="1" w:styleId="TableNormal7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FA698D"/>
  </w:style>
  <w:style w:type="table" w:customStyle="1" w:styleId="TableNormal8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Обычный9"/>
    <w:rsid w:val="00FA698D"/>
  </w:style>
  <w:style w:type="table" w:customStyle="1" w:styleId="TableNormal9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9"/>
    <w:rsid w:val="00FA69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rsid w:val="00FA698D"/>
    <w:tblPr>
      <w:tblStyleRowBandSize w:val="1"/>
      <w:tblStyleColBandSize w:val="1"/>
    </w:tblPr>
  </w:style>
  <w:style w:type="table" w:customStyle="1" w:styleId="af2">
    <w:basedOn w:val="TableNormal9"/>
    <w:rsid w:val="00FA698D"/>
    <w:tblPr>
      <w:tblStyleRowBandSize w:val="1"/>
      <w:tblStyleColBandSize w:val="1"/>
    </w:tblPr>
  </w:style>
  <w:style w:type="table" w:customStyle="1" w:styleId="a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A727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9"/>
    <w:next w:val="9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9"/>
    <w:next w:val="9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9"/>
    <w:next w:val="9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9"/>
    <w:next w:val="9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9"/>
    <w:next w:val="9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9"/>
    <w:next w:val="9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9"/>
    <w:next w:val="9"/>
    <w:rsid w:val="00FA69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A72744"/>
  </w:style>
  <w:style w:type="table" w:customStyle="1" w:styleId="TableNormal1">
    <w:name w:val="Table Normal"/>
    <w:rsid w:val="00A727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FA698D"/>
  </w:style>
  <w:style w:type="table" w:customStyle="1" w:styleId="TableNormal7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FA698D"/>
  </w:style>
  <w:style w:type="table" w:customStyle="1" w:styleId="TableNormal8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Обычный9"/>
    <w:rsid w:val="00FA698D"/>
  </w:style>
  <w:style w:type="table" w:customStyle="1" w:styleId="TableNormal9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9"/>
    <w:rsid w:val="00FA69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rsid w:val="00FA698D"/>
    <w:tblPr>
      <w:tblStyleRowBandSize w:val="1"/>
      <w:tblStyleColBandSize w:val="1"/>
    </w:tblPr>
  </w:style>
  <w:style w:type="table" w:customStyle="1" w:styleId="af2">
    <w:basedOn w:val="TableNormal9"/>
    <w:rsid w:val="00FA698D"/>
    <w:tblPr>
      <w:tblStyleRowBandSize w:val="1"/>
      <w:tblStyleColBandSize w:val="1"/>
    </w:tblPr>
  </w:style>
  <w:style w:type="table" w:customStyle="1" w:styleId="a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A727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U0z8WXYk20Rsu0tjqe+dMfpBQ==">CgMxLjAaJQoBMBIgCh4IB0IaCg9UaW1lcyBOZXcgUm9tYW4SB0d1bmdzdWgyCGguZ2pkZ3hzMgloLjMwajB6bGw4AHIhMV81N1ozZ1Bla0tPNmFFV1NySlk4bVBCWTJ5ZjFHb0xy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13596</Words>
  <Characters>77500</Characters>
  <Application>Microsoft Office Word</Application>
  <DocSecurity>0</DocSecurity>
  <Lines>645</Lines>
  <Paragraphs>181</Paragraphs>
  <ScaleCrop>false</ScaleCrop>
  <Company/>
  <LinksUpToDate>false</LinksUpToDate>
  <CharactersWithSpaces>90915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цифропарк</cp:lastModifiedBy>
  <cp:revision>3</cp:revision>
  <dcterms:created xsi:type="dcterms:W3CDTF">2021-03-10T12:59:00Z</dcterms:created>
  <dcterms:modified xsi:type="dcterms:W3CDTF">2025-03-12T17:08:00Z</dcterms:modified>
</cp:coreProperties>
</file>